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A80EB" w14:textId="77777777" w:rsidR="00E415F7" w:rsidRPr="00E415F7" w:rsidRDefault="00E415F7" w:rsidP="00E415F7">
      <w:pPr>
        <w:pStyle w:val="Nadpis1"/>
        <w:spacing w:before="0"/>
        <w:jc w:val="center"/>
        <w:rPr>
          <w:rFonts w:ascii="Arial" w:hAnsi="Arial" w:cs="Arial"/>
          <w:b/>
          <w:sz w:val="28"/>
          <w:szCs w:val="28"/>
        </w:rPr>
      </w:pPr>
      <w:r w:rsidRPr="00E415F7">
        <w:rPr>
          <w:rFonts w:ascii="Arial" w:hAnsi="Arial" w:cs="Arial"/>
          <w:b/>
          <w:sz w:val="28"/>
          <w:szCs w:val="28"/>
        </w:rPr>
        <w:t>Komentář k hodnocení výsledků  v Modulu 1</w:t>
      </w:r>
    </w:p>
    <w:p w14:paraId="655EF86C" w14:textId="44049704" w:rsidR="00B75860" w:rsidRPr="00C057B6" w:rsidRDefault="008E0C02" w:rsidP="00E415F7">
      <w:pPr>
        <w:pStyle w:val="Nadpis1"/>
        <w:spacing w:before="0"/>
        <w:jc w:val="center"/>
        <w:rPr>
          <w:rFonts w:ascii="Arial" w:hAnsi="Arial" w:cs="Arial"/>
          <w:b/>
          <w:sz w:val="28"/>
          <w:szCs w:val="28"/>
        </w:rPr>
      </w:pPr>
      <w:r>
        <w:rPr>
          <w:rFonts w:ascii="Arial" w:hAnsi="Arial" w:cs="Arial"/>
          <w:b/>
          <w:sz w:val="28"/>
          <w:szCs w:val="28"/>
        </w:rPr>
        <w:t>Odborný p</w:t>
      </w:r>
      <w:r w:rsidR="00B75860" w:rsidRPr="00C057B6">
        <w:rPr>
          <w:rFonts w:ascii="Arial" w:hAnsi="Arial" w:cs="Arial"/>
          <w:b/>
          <w:sz w:val="28"/>
          <w:szCs w:val="28"/>
        </w:rPr>
        <w:t>anel 5</w:t>
      </w:r>
      <w:r>
        <w:rPr>
          <w:rFonts w:ascii="Arial" w:hAnsi="Arial" w:cs="Arial"/>
          <w:b/>
          <w:sz w:val="28"/>
          <w:szCs w:val="28"/>
        </w:rPr>
        <w:t>. Social Sciences</w:t>
      </w:r>
    </w:p>
    <w:p w14:paraId="076D348F" w14:textId="77777777" w:rsidR="00B75860" w:rsidRPr="00C057B6" w:rsidRDefault="00B75860" w:rsidP="00E415F7">
      <w:pPr>
        <w:rPr>
          <w:rFonts w:ascii="Arial" w:hAnsi="Arial" w:cs="Arial"/>
        </w:rPr>
      </w:pPr>
    </w:p>
    <w:p w14:paraId="65F2E671" w14:textId="49F453BD" w:rsidR="001A53D8" w:rsidRDefault="001A53D8" w:rsidP="001A53D8">
      <w:pPr>
        <w:spacing w:after="0"/>
        <w:rPr>
          <w:rFonts w:ascii="Arial" w:hAnsi="Arial" w:cs="Arial"/>
          <w:b/>
        </w:rPr>
      </w:pPr>
      <w:r w:rsidRPr="009144A6">
        <w:rPr>
          <w:rFonts w:ascii="Arial" w:hAnsi="Arial" w:cs="Arial"/>
          <w:b/>
        </w:rPr>
        <w:t>Zpracoval</w:t>
      </w:r>
      <w:r>
        <w:rPr>
          <w:rFonts w:ascii="Arial" w:hAnsi="Arial" w:cs="Arial"/>
          <w:b/>
        </w:rPr>
        <w:t>a</w:t>
      </w:r>
      <w:r w:rsidRPr="009144A6">
        <w:rPr>
          <w:rFonts w:ascii="Arial" w:hAnsi="Arial" w:cs="Arial"/>
          <w:b/>
        </w:rPr>
        <w:t xml:space="preserve"> </w:t>
      </w:r>
      <w:r>
        <w:rPr>
          <w:rFonts w:ascii="Arial" w:hAnsi="Arial" w:cs="Arial"/>
          <w:b/>
        </w:rPr>
        <w:t>místopředsedkyně</w:t>
      </w:r>
      <w:r w:rsidRPr="009144A6">
        <w:rPr>
          <w:rFonts w:ascii="Arial" w:hAnsi="Arial" w:cs="Arial"/>
          <w:b/>
        </w:rPr>
        <w:t xml:space="preserve"> Odborného panelu: </w:t>
      </w:r>
      <w:r>
        <w:rPr>
          <w:rFonts w:ascii="Arial" w:hAnsi="Arial" w:cs="Arial"/>
          <w:b/>
        </w:rPr>
        <w:t xml:space="preserve">doc. </w:t>
      </w:r>
      <w:r w:rsidR="006A2FC4">
        <w:rPr>
          <w:rFonts w:ascii="Arial" w:hAnsi="Arial" w:cs="Arial"/>
          <w:b/>
        </w:rPr>
        <w:t xml:space="preserve">Mgr. </w:t>
      </w:r>
      <w:r>
        <w:rPr>
          <w:rFonts w:ascii="Arial" w:hAnsi="Arial" w:cs="Arial"/>
          <w:b/>
        </w:rPr>
        <w:t>Radka Dudová</w:t>
      </w:r>
      <w:r w:rsidR="006A2FC4">
        <w:rPr>
          <w:rFonts w:ascii="Arial" w:hAnsi="Arial" w:cs="Arial"/>
          <w:b/>
        </w:rPr>
        <w:t>, Ph.D.</w:t>
      </w:r>
      <w:bookmarkStart w:id="0" w:name="_GoBack"/>
      <w:bookmarkEnd w:id="0"/>
    </w:p>
    <w:p w14:paraId="2FE20A8A" w14:textId="1DB1A419" w:rsidR="001A53D8" w:rsidRPr="009144A6" w:rsidRDefault="001A53D8" w:rsidP="001A53D8">
      <w:pPr>
        <w:spacing w:after="0"/>
        <w:rPr>
          <w:rFonts w:ascii="Arial" w:hAnsi="Arial" w:cs="Arial"/>
          <w:b/>
        </w:rPr>
      </w:pPr>
      <w:r w:rsidRPr="009144A6">
        <w:rPr>
          <w:rFonts w:ascii="Arial" w:hAnsi="Arial" w:cs="Arial"/>
          <w:b/>
        </w:rPr>
        <w:t xml:space="preserve">Dne: </w:t>
      </w:r>
      <w:r>
        <w:rPr>
          <w:rFonts w:ascii="Arial" w:hAnsi="Arial" w:cs="Arial"/>
          <w:b/>
        </w:rPr>
        <w:t>2</w:t>
      </w:r>
      <w:r w:rsidRPr="009144A6">
        <w:rPr>
          <w:rFonts w:ascii="Arial" w:hAnsi="Arial" w:cs="Arial"/>
          <w:b/>
        </w:rPr>
        <w:t>6. 7. 2020</w:t>
      </w:r>
    </w:p>
    <w:p w14:paraId="5C464A6D" w14:textId="77777777" w:rsidR="001A53D8" w:rsidRDefault="001A53D8" w:rsidP="00E1388E">
      <w:pPr>
        <w:pStyle w:val="Nadpis2"/>
        <w:rPr>
          <w:rFonts w:ascii="Arial" w:hAnsi="Arial" w:cs="Arial"/>
          <w:sz w:val="22"/>
          <w:szCs w:val="22"/>
        </w:rPr>
      </w:pPr>
    </w:p>
    <w:p w14:paraId="038605F4" w14:textId="244A9517" w:rsidR="00E1388E" w:rsidRPr="00C057B6" w:rsidRDefault="005667AE" w:rsidP="00E1388E">
      <w:pPr>
        <w:pStyle w:val="Nadpis2"/>
        <w:rPr>
          <w:rFonts w:ascii="Arial" w:hAnsi="Arial" w:cs="Arial"/>
          <w:sz w:val="22"/>
          <w:szCs w:val="22"/>
        </w:rPr>
      </w:pPr>
      <w:r w:rsidRPr="00C057B6">
        <w:rPr>
          <w:rFonts w:ascii="Arial" w:hAnsi="Arial" w:cs="Arial"/>
          <w:sz w:val="22"/>
          <w:szCs w:val="22"/>
        </w:rPr>
        <w:t>Cel</w:t>
      </w:r>
      <w:r w:rsidR="00BC4EA5" w:rsidRPr="00C057B6">
        <w:rPr>
          <w:rFonts w:ascii="Arial" w:hAnsi="Arial" w:cs="Arial"/>
          <w:sz w:val="22"/>
          <w:szCs w:val="22"/>
        </w:rPr>
        <w:t>kový počet hodnocených výsledků a výsledky hodnocení</w:t>
      </w:r>
    </w:p>
    <w:p w14:paraId="479F175D" w14:textId="77777777" w:rsidR="005667AE" w:rsidRPr="00C057B6" w:rsidRDefault="000805FD" w:rsidP="00E3656E">
      <w:pPr>
        <w:jc w:val="both"/>
        <w:rPr>
          <w:rFonts w:ascii="Arial" w:hAnsi="Arial" w:cs="Arial"/>
        </w:rPr>
      </w:pPr>
      <w:r w:rsidRPr="00C057B6">
        <w:rPr>
          <w:rFonts w:ascii="Arial" w:hAnsi="Arial" w:cs="Arial"/>
        </w:rPr>
        <w:t xml:space="preserve">Celkem bylo v Panelu 5 – Social </w:t>
      </w:r>
      <w:r w:rsidR="00BC4EA5" w:rsidRPr="00C057B6">
        <w:rPr>
          <w:rFonts w:ascii="Arial" w:hAnsi="Arial" w:cs="Arial"/>
        </w:rPr>
        <w:t>Sciences hodnoceno 400</w:t>
      </w:r>
      <w:r w:rsidRPr="00C057B6">
        <w:rPr>
          <w:rFonts w:ascii="Arial" w:hAnsi="Arial" w:cs="Arial"/>
        </w:rPr>
        <w:t xml:space="preserve"> výsledků</w:t>
      </w:r>
      <w:r w:rsidR="00BC4EA5" w:rsidRPr="00C057B6">
        <w:rPr>
          <w:rFonts w:ascii="Arial" w:hAnsi="Arial" w:cs="Arial"/>
        </w:rPr>
        <w:t>, 3 ale byly vykázány dvakrát různými VO (tedy celkem 397 výsledků)</w:t>
      </w:r>
      <w:r w:rsidRPr="00C057B6">
        <w:rPr>
          <w:rFonts w:ascii="Arial" w:hAnsi="Arial" w:cs="Arial"/>
        </w:rPr>
        <w:t>. To je výrazně méně než v loňském roce, což</w:t>
      </w:r>
      <w:r w:rsidR="00E3656E">
        <w:rPr>
          <w:rFonts w:ascii="Arial" w:hAnsi="Arial" w:cs="Arial"/>
        </w:rPr>
        <w:t> </w:t>
      </w:r>
      <w:r w:rsidRPr="00C057B6">
        <w:rPr>
          <w:rFonts w:ascii="Arial" w:hAnsi="Arial" w:cs="Arial"/>
        </w:rPr>
        <w:t>se projevilo mimo jiné i v tom, že pro všechny výsledky se podařilo sehnat hodnotitele a</w:t>
      </w:r>
      <w:r w:rsidR="00E3656E">
        <w:rPr>
          <w:rFonts w:ascii="Arial" w:hAnsi="Arial" w:cs="Arial"/>
        </w:rPr>
        <w:t> </w:t>
      </w:r>
      <w:r w:rsidRPr="00C057B6">
        <w:rPr>
          <w:rFonts w:ascii="Arial" w:hAnsi="Arial" w:cs="Arial"/>
        </w:rPr>
        <w:t>hodnocení zrealizovat. Nejvíce přihlášených výsledků patřilo do podoboru 5.5. Law (84), což</w:t>
      </w:r>
      <w:r w:rsidR="00E3656E">
        <w:rPr>
          <w:rFonts w:ascii="Arial" w:hAnsi="Arial" w:cs="Arial"/>
        </w:rPr>
        <w:t> </w:t>
      </w:r>
      <w:r w:rsidRPr="00C057B6">
        <w:rPr>
          <w:rFonts w:ascii="Arial" w:hAnsi="Arial" w:cs="Arial"/>
        </w:rPr>
        <w:t>odpovídá velikosti oboru a také tomu, že publikování v daném oboru se zaměřuje právě spíše na výsledky nebibliometrizované.</w:t>
      </w:r>
    </w:p>
    <w:p w14:paraId="3D502DB1" w14:textId="77777777" w:rsidR="000805FD" w:rsidRPr="00C057B6" w:rsidRDefault="000805FD" w:rsidP="00E3656E">
      <w:pPr>
        <w:jc w:val="both"/>
        <w:rPr>
          <w:rFonts w:ascii="Arial" w:hAnsi="Arial" w:cs="Arial"/>
        </w:rPr>
      </w:pPr>
      <w:r w:rsidRPr="00C057B6">
        <w:rPr>
          <w:rFonts w:ascii="Arial" w:hAnsi="Arial" w:cs="Arial"/>
        </w:rPr>
        <w:t>Co se týče výsledného hodnocení, panovaly mezi podobory značné rozdíly. Negativně vyčníval Ford 5.9. Other Social Sciences. Tento Ford je sběrným košem pro výsledky, které se nikam jinam nedají přiřadit, a jejich zaměření i kvalita je velmi různorodá; polovina z přihlášených 20 výsledků byla hodnocená jako podprůměrná. Nejlépe na tom naopak byl Ford 5.7. Social and Economic Geography, kde průměrná známka dosáhla 2,</w:t>
      </w:r>
      <w:r w:rsidR="00BC4EA5" w:rsidRPr="00C057B6">
        <w:rPr>
          <w:rFonts w:ascii="Arial" w:hAnsi="Arial" w:cs="Arial"/>
        </w:rPr>
        <w:t>56</w:t>
      </w:r>
      <w:r w:rsidR="00253FAF" w:rsidRPr="00C057B6">
        <w:rPr>
          <w:rFonts w:ascii="Arial" w:hAnsi="Arial" w:cs="Arial"/>
        </w:rPr>
        <w:t>. V ostatních Fordech se pohybovala lehce pod hodnotou 3.</w:t>
      </w:r>
    </w:p>
    <w:p w14:paraId="47F5B026" w14:textId="77777777" w:rsidR="00BC4EA5" w:rsidRPr="00C057B6" w:rsidRDefault="00BC4EA5">
      <w:pPr>
        <w:rPr>
          <w:rFonts w:ascii="Arial" w:hAnsi="Arial" w:cs="Arial"/>
        </w:rPr>
      </w:pPr>
    </w:p>
    <w:p w14:paraId="37737B45" w14:textId="77777777" w:rsidR="00BC4EA5" w:rsidRPr="00C057B6" w:rsidRDefault="00BC4EA5">
      <w:pPr>
        <w:rPr>
          <w:rFonts w:ascii="Arial" w:hAnsi="Arial" w:cs="Arial"/>
        </w:rPr>
      </w:pPr>
      <w:r w:rsidRPr="00C057B6">
        <w:rPr>
          <w:rFonts w:ascii="Arial" w:hAnsi="Arial" w:cs="Arial"/>
          <w:noProof/>
          <w:lang w:eastAsia="cs-CZ"/>
        </w:rPr>
        <w:drawing>
          <wp:inline distT="0" distB="0" distL="0" distR="0" wp14:anchorId="065596FD" wp14:editId="1C8E2E1F">
            <wp:extent cx="4572000" cy="2743200"/>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44CDB42" w14:textId="77777777" w:rsidR="00BC4EA5" w:rsidRPr="00C057B6" w:rsidRDefault="00BC4EA5">
      <w:pPr>
        <w:rPr>
          <w:rFonts w:ascii="Arial" w:hAnsi="Arial" w:cs="Arial"/>
        </w:rPr>
      </w:pPr>
    </w:p>
    <w:p w14:paraId="738460F8" w14:textId="77777777" w:rsidR="00BC4EA5" w:rsidRPr="00C057B6" w:rsidRDefault="00BC4EA5">
      <w:pPr>
        <w:rPr>
          <w:rFonts w:ascii="Arial" w:hAnsi="Arial" w:cs="Arial"/>
        </w:rPr>
      </w:pPr>
      <w:r w:rsidRPr="00C057B6">
        <w:rPr>
          <w:rFonts w:ascii="Arial" w:hAnsi="Arial" w:cs="Arial"/>
          <w:noProof/>
          <w:lang w:eastAsia="cs-CZ"/>
        </w:rPr>
        <w:lastRenderedPageBreak/>
        <w:drawing>
          <wp:inline distT="0" distB="0" distL="0" distR="0" wp14:anchorId="158C164F" wp14:editId="3A408D45">
            <wp:extent cx="4572000" cy="2743200"/>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888FCCF" w14:textId="77777777" w:rsidR="00AD2218" w:rsidRPr="00C057B6" w:rsidRDefault="00AD2218" w:rsidP="00AD2218">
      <w:pPr>
        <w:pStyle w:val="Odstavecseseznamem"/>
        <w:rPr>
          <w:rFonts w:ascii="Arial" w:eastAsia="Times New Roman" w:hAnsi="Arial" w:cs="Arial"/>
          <w:color w:val="000000"/>
          <w:lang w:eastAsia="cs-CZ"/>
        </w:rPr>
      </w:pPr>
    </w:p>
    <w:p w14:paraId="7A576EA2" w14:textId="77777777" w:rsidR="00CA5D8B" w:rsidRPr="00C057B6" w:rsidRDefault="005667AE" w:rsidP="00E1388E">
      <w:pPr>
        <w:pStyle w:val="Nadpis2"/>
        <w:rPr>
          <w:rFonts w:ascii="Arial" w:eastAsia="Times New Roman" w:hAnsi="Arial" w:cs="Arial"/>
          <w:color w:val="000000"/>
          <w:sz w:val="22"/>
          <w:szCs w:val="22"/>
          <w:lang w:eastAsia="cs-CZ"/>
        </w:rPr>
      </w:pPr>
      <w:r w:rsidRPr="00C057B6">
        <w:rPr>
          <w:rFonts w:ascii="Arial" w:hAnsi="Arial" w:cs="Arial"/>
          <w:sz w:val="22"/>
          <w:szCs w:val="22"/>
        </w:rPr>
        <w:t>Špi</w:t>
      </w:r>
      <w:r w:rsidR="00CA5D8B" w:rsidRPr="00C057B6">
        <w:rPr>
          <w:rFonts w:ascii="Arial" w:hAnsi="Arial" w:cs="Arial"/>
          <w:sz w:val="22"/>
          <w:szCs w:val="22"/>
        </w:rPr>
        <w:t>čkové (world-leading) výsledky</w:t>
      </w:r>
    </w:p>
    <w:p w14:paraId="073C2A1A" w14:textId="77777777" w:rsidR="0055259A" w:rsidRPr="00DD682A" w:rsidRDefault="00CA5D8B" w:rsidP="00E3656E">
      <w:pPr>
        <w:spacing w:after="0" w:line="240" w:lineRule="auto"/>
        <w:jc w:val="both"/>
        <w:rPr>
          <w:rFonts w:ascii="Arial" w:eastAsia="Times New Roman" w:hAnsi="Arial" w:cs="Arial"/>
          <w:color w:val="000000"/>
          <w:lang w:eastAsia="cs-CZ"/>
        </w:rPr>
      </w:pPr>
      <w:r w:rsidRPr="00C057B6">
        <w:rPr>
          <w:rFonts w:ascii="Arial" w:hAnsi="Arial" w:cs="Arial"/>
        </w:rPr>
        <w:t>Výsledky hodnocené jako špičkové (world-leading) byly</w:t>
      </w:r>
      <w:r w:rsidR="00FD22F3" w:rsidRPr="00C057B6">
        <w:rPr>
          <w:rFonts w:ascii="Arial" w:hAnsi="Arial" w:cs="Arial"/>
        </w:rPr>
        <w:t xml:space="preserve"> ve většině výsledky bibliometrizované – články publikované v prestižních časopisech spadající</w:t>
      </w:r>
      <w:r w:rsidR="00DF3894" w:rsidRPr="00C057B6">
        <w:rPr>
          <w:rFonts w:ascii="Arial" w:hAnsi="Arial" w:cs="Arial"/>
        </w:rPr>
        <w:t>ch do Q1, výjimečně Q2. Pouze v</w:t>
      </w:r>
      <w:r w:rsidR="00FD22F3" w:rsidRPr="00C057B6">
        <w:rPr>
          <w:rFonts w:ascii="Arial" w:hAnsi="Arial" w:cs="Arial"/>
        </w:rPr>
        <w:t xml:space="preserve"> </w:t>
      </w:r>
      <w:r w:rsidR="00DF3894" w:rsidRPr="00C057B6">
        <w:rPr>
          <w:rFonts w:ascii="Arial" w:hAnsi="Arial" w:cs="Arial"/>
        </w:rPr>
        <w:t>pěti</w:t>
      </w:r>
      <w:r w:rsidR="00FD22F3" w:rsidRPr="00C057B6">
        <w:rPr>
          <w:rFonts w:ascii="Arial" w:hAnsi="Arial" w:cs="Arial"/>
        </w:rPr>
        <w:t xml:space="preserve"> případech </w:t>
      </w:r>
      <w:r w:rsidR="00DF3894" w:rsidRPr="00C057B6">
        <w:rPr>
          <w:rFonts w:ascii="Arial" w:hAnsi="Arial" w:cs="Arial"/>
        </w:rPr>
        <w:t xml:space="preserve">z celkových 20 </w:t>
      </w:r>
      <w:r w:rsidR="00FD22F3" w:rsidRPr="00C057B6">
        <w:rPr>
          <w:rFonts w:ascii="Arial" w:hAnsi="Arial" w:cs="Arial"/>
        </w:rPr>
        <w:t>byly jako špičkové hodnoceny monografie,</w:t>
      </w:r>
      <w:r w:rsidR="002C7F3B" w:rsidRPr="00C057B6">
        <w:rPr>
          <w:rFonts w:ascii="Arial" w:hAnsi="Arial" w:cs="Arial"/>
        </w:rPr>
        <w:t xml:space="preserve"> ve všech případech</w:t>
      </w:r>
      <w:r w:rsidR="00FD22F3" w:rsidRPr="00C057B6">
        <w:rPr>
          <w:rFonts w:ascii="Arial" w:hAnsi="Arial" w:cs="Arial"/>
        </w:rPr>
        <w:t xml:space="preserve"> vydané u prestižních mezinárodních nakladatelství a psané v anglickém jazyce</w:t>
      </w:r>
      <w:r w:rsidR="002C7F3B" w:rsidRPr="00C057B6">
        <w:rPr>
          <w:rFonts w:ascii="Arial" w:hAnsi="Arial" w:cs="Arial"/>
        </w:rPr>
        <w:t>, v jednom případě byla hodnocena jako špičková kapitola</w:t>
      </w:r>
      <w:r w:rsidR="0055259A" w:rsidRPr="00C057B6">
        <w:rPr>
          <w:rFonts w:ascii="Arial" w:hAnsi="Arial" w:cs="Arial"/>
        </w:rPr>
        <w:t xml:space="preserve"> (viz tabulka)</w:t>
      </w:r>
      <w:r w:rsidR="00FD22F3" w:rsidRPr="00C057B6">
        <w:rPr>
          <w:rFonts w:ascii="Arial" w:hAnsi="Arial" w:cs="Arial"/>
        </w:rPr>
        <w:t xml:space="preserve">. Hodnocení u špičkových výsledků se opíralo o kvalitu výsledku, ale také o prestiž publikace, která určuje, zda má publikace mezinárodní dosah. V naprosté většině se jednalo o výsledky hodnocené podle kritéria přínosu k poznání, s výjimkou zprávy </w:t>
      </w:r>
      <w:r w:rsidR="004B157B" w:rsidRPr="00C057B6">
        <w:rPr>
          <w:rFonts w:ascii="Arial" w:hAnsi="Arial" w:cs="Arial"/>
        </w:rPr>
        <w:t>„</w:t>
      </w:r>
      <w:r w:rsidR="00FD22F3" w:rsidRPr="00C057B6">
        <w:rPr>
          <w:rFonts w:ascii="Arial" w:eastAsia="Times New Roman" w:hAnsi="Arial" w:cs="Arial"/>
          <w:color w:val="000000"/>
          <w:lang w:eastAsia="cs-CZ"/>
        </w:rPr>
        <w:t>Research for AGRI Committee - Young farmers - Policy implementation after the 2013 CAP reform</w:t>
      </w:r>
      <w:r w:rsidR="004B157B" w:rsidRPr="00C057B6">
        <w:rPr>
          <w:rFonts w:ascii="Arial" w:eastAsia="Times New Roman" w:hAnsi="Arial" w:cs="Arial"/>
          <w:color w:val="000000"/>
          <w:lang w:eastAsia="cs-CZ"/>
        </w:rPr>
        <w:t>“</w:t>
      </w:r>
      <w:r w:rsidR="00946C56" w:rsidRPr="00C057B6">
        <w:rPr>
          <w:rFonts w:ascii="Arial" w:eastAsia="Times New Roman" w:hAnsi="Arial" w:cs="Arial"/>
          <w:color w:val="000000"/>
          <w:lang w:eastAsia="cs-CZ"/>
        </w:rPr>
        <w:t xml:space="preserve"> (Ford 5.4.)</w:t>
      </w:r>
      <w:r w:rsidR="00FD22F3" w:rsidRPr="00C057B6">
        <w:rPr>
          <w:rFonts w:ascii="Arial" w:eastAsia="Times New Roman" w:hAnsi="Arial" w:cs="Arial"/>
          <w:color w:val="000000"/>
          <w:lang w:eastAsia="cs-CZ"/>
        </w:rPr>
        <w:t>.</w:t>
      </w:r>
      <w:r w:rsidR="00946C56" w:rsidRPr="00C057B6">
        <w:rPr>
          <w:rFonts w:ascii="Arial" w:eastAsia="Times New Roman" w:hAnsi="Arial" w:cs="Arial"/>
          <w:color w:val="000000"/>
          <w:lang w:eastAsia="cs-CZ"/>
        </w:rPr>
        <w:t xml:space="preserve"> </w:t>
      </w:r>
      <w:r w:rsidRPr="00C057B6">
        <w:rPr>
          <w:rFonts w:ascii="Arial" w:eastAsia="Times New Roman" w:hAnsi="Arial" w:cs="Arial"/>
          <w:color w:val="000000"/>
          <w:lang w:eastAsia="cs-CZ"/>
        </w:rPr>
        <w:t>(</w:t>
      </w:r>
      <w:r w:rsidR="00946C56" w:rsidRPr="00C057B6">
        <w:rPr>
          <w:rFonts w:ascii="Arial" w:eastAsia="Times New Roman" w:hAnsi="Arial" w:cs="Arial"/>
          <w:color w:val="000000"/>
          <w:lang w:eastAsia="cs-CZ"/>
        </w:rPr>
        <w:t>Jednalo se o studii, vyžádanou zemědělským výborem Evropského parlamentu a diskutovanou v průběhu veřejného slyšení, tudíž bylo možné předpokládat její široké využití na evropských trzích.</w:t>
      </w:r>
      <w:r w:rsidRPr="00C057B6">
        <w:rPr>
          <w:rFonts w:ascii="Arial" w:eastAsia="Times New Roman" w:hAnsi="Arial" w:cs="Arial"/>
          <w:color w:val="000000"/>
          <w:lang w:eastAsia="cs-CZ"/>
        </w:rPr>
        <w:t xml:space="preserve">) </w:t>
      </w:r>
      <w:r w:rsidRPr="00DD682A">
        <w:rPr>
          <w:rFonts w:ascii="Arial" w:eastAsia="Times New Roman" w:hAnsi="Arial" w:cs="Arial"/>
          <w:color w:val="000000"/>
          <w:lang w:eastAsia="cs-CZ"/>
        </w:rPr>
        <w:t>Druhým špičkovým výsledkem dle kritéria s</w:t>
      </w:r>
      <w:r w:rsidR="00F94D4E" w:rsidRPr="00DD682A">
        <w:rPr>
          <w:rFonts w:ascii="Arial" w:eastAsia="Times New Roman" w:hAnsi="Arial" w:cs="Arial"/>
          <w:color w:val="000000"/>
          <w:lang w:eastAsia="cs-CZ"/>
        </w:rPr>
        <w:t>polečenské relevance byl článek</w:t>
      </w:r>
      <w:r w:rsidR="0055259A" w:rsidRPr="00DD682A">
        <w:rPr>
          <w:rFonts w:ascii="Arial" w:eastAsia="Times New Roman" w:hAnsi="Arial" w:cs="Arial"/>
          <w:color w:val="000000"/>
          <w:lang w:eastAsia="cs-CZ"/>
        </w:rPr>
        <w:t xml:space="preserve"> </w:t>
      </w:r>
      <w:r w:rsidR="004B157B" w:rsidRPr="00DD682A">
        <w:rPr>
          <w:rFonts w:ascii="Arial" w:eastAsia="Times New Roman" w:hAnsi="Arial" w:cs="Arial"/>
          <w:color w:val="000000"/>
          <w:lang w:eastAsia="cs-CZ"/>
        </w:rPr>
        <w:t>„</w:t>
      </w:r>
      <w:r w:rsidR="0055259A" w:rsidRPr="00DD682A">
        <w:rPr>
          <w:rFonts w:ascii="Arial" w:eastAsia="Times New Roman" w:hAnsi="Arial" w:cs="Arial"/>
          <w:color w:val="000000"/>
          <w:lang w:eastAsia="cs-CZ"/>
        </w:rPr>
        <w:t>The Vory: Russia's Super Mafia</w:t>
      </w:r>
      <w:r w:rsidR="004B157B" w:rsidRPr="00DD682A">
        <w:rPr>
          <w:rFonts w:ascii="Arial" w:eastAsia="Times New Roman" w:hAnsi="Arial" w:cs="Arial"/>
          <w:color w:val="000000"/>
          <w:lang w:eastAsia="cs-CZ"/>
        </w:rPr>
        <w:t>“</w:t>
      </w:r>
    </w:p>
    <w:p w14:paraId="2A27D4A1" w14:textId="77777777" w:rsidR="00FD22F3" w:rsidRPr="00C057B6" w:rsidRDefault="0055259A" w:rsidP="00E3656E">
      <w:pPr>
        <w:jc w:val="both"/>
        <w:rPr>
          <w:rFonts w:ascii="Arial" w:eastAsia="Times New Roman" w:hAnsi="Arial" w:cs="Arial"/>
          <w:color w:val="000000"/>
          <w:lang w:eastAsia="cs-CZ"/>
        </w:rPr>
      </w:pPr>
      <w:r w:rsidRPr="00DD682A">
        <w:rPr>
          <w:rFonts w:ascii="Arial" w:eastAsia="Times New Roman" w:hAnsi="Arial" w:cs="Arial"/>
          <w:color w:val="000000"/>
          <w:lang w:eastAsia="cs-CZ"/>
        </w:rPr>
        <w:t>(Ford 5.6. Political Science)</w:t>
      </w:r>
      <w:r w:rsidR="00CA5D8B" w:rsidRPr="00DD682A">
        <w:rPr>
          <w:rFonts w:ascii="Arial" w:eastAsia="Times New Roman" w:hAnsi="Arial" w:cs="Arial"/>
          <w:color w:val="000000"/>
          <w:lang w:eastAsia="cs-CZ"/>
        </w:rPr>
        <w:t>, zařazený pod toto kritérium spíše omylem.</w:t>
      </w:r>
    </w:p>
    <w:p w14:paraId="5514EC45" w14:textId="77777777" w:rsidR="00F94D4E" w:rsidRPr="00C057B6" w:rsidRDefault="00F94D4E" w:rsidP="00E3656E">
      <w:pPr>
        <w:jc w:val="both"/>
        <w:rPr>
          <w:rFonts w:ascii="Arial" w:eastAsia="Times New Roman" w:hAnsi="Arial" w:cs="Arial"/>
          <w:color w:val="000000"/>
          <w:lang w:eastAsia="cs-CZ"/>
        </w:rPr>
      </w:pPr>
      <w:r w:rsidRPr="00C057B6">
        <w:rPr>
          <w:rFonts w:ascii="Arial" w:eastAsia="Times New Roman" w:hAnsi="Arial" w:cs="Arial"/>
          <w:color w:val="000000"/>
          <w:lang w:eastAsia="cs-CZ"/>
        </w:rPr>
        <w:t>Oproti loňskému roku, kdy bylo jako špičkové hodnoceno 2,6 % výsledků, došlo k poměrně značnému navýšení na 5 % špičkových výsledků. Co se týče excelentních výsledků, došlo k navýšení z</w:t>
      </w:r>
      <w:r w:rsidR="004B6799" w:rsidRPr="00C057B6">
        <w:rPr>
          <w:rFonts w:ascii="Arial" w:eastAsia="Times New Roman" w:hAnsi="Arial" w:cs="Arial"/>
          <w:color w:val="000000"/>
          <w:lang w:eastAsia="cs-CZ"/>
        </w:rPr>
        <w:t xml:space="preserve"> </w:t>
      </w:r>
      <w:r w:rsidRPr="00C057B6">
        <w:rPr>
          <w:rFonts w:ascii="Arial" w:eastAsia="Times New Roman" w:hAnsi="Arial" w:cs="Arial"/>
          <w:color w:val="000000"/>
          <w:lang w:eastAsia="cs-CZ"/>
        </w:rPr>
        <w:t>13,8 % na 18 %. Důvodem je pravděpodobně právě možnost přihlašovat do</w:t>
      </w:r>
      <w:r w:rsidR="00E3656E">
        <w:rPr>
          <w:rFonts w:ascii="Arial" w:eastAsia="Times New Roman" w:hAnsi="Arial" w:cs="Arial"/>
          <w:color w:val="000000"/>
          <w:lang w:eastAsia="cs-CZ"/>
        </w:rPr>
        <w:t> </w:t>
      </w:r>
      <w:r w:rsidRPr="00C057B6">
        <w:rPr>
          <w:rFonts w:ascii="Arial" w:eastAsia="Times New Roman" w:hAnsi="Arial" w:cs="Arial"/>
          <w:color w:val="000000"/>
          <w:lang w:eastAsia="cs-CZ"/>
        </w:rPr>
        <w:t xml:space="preserve">vzdáleného hodnocení bibliometrizované výsledky. </w:t>
      </w:r>
    </w:p>
    <w:p w14:paraId="1EB8ED5B" w14:textId="77777777" w:rsidR="001C4991" w:rsidRPr="00C057B6" w:rsidRDefault="001C4991" w:rsidP="00E3656E">
      <w:pPr>
        <w:jc w:val="both"/>
        <w:rPr>
          <w:rFonts w:ascii="Arial" w:hAnsi="Arial" w:cs="Arial"/>
        </w:rPr>
      </w:pPr>
      <w:r w:rsidRPr="00C057B6">
        <w:rPr>
          <w:rFonts w:ascii="Arial" w:hAnsi="Arial" w:cs="Arial"/>
        </w:rPr>
        <w:t xml:space="preserve">Nejvíce špičkových výsledků (5) bylo vykázáno v rámci Fordu 5.2. Economics and </w:t>
      </w:r>
      <w:r w:rsidR="006B7E5A" w:rsidRPr="00C057B6">
        <w:rPr>
          <w:rFonts w:ascii="Arial" w:hAnsi="Arial" w:cs="Arial"/>
        </w:rPr>
        <w:t>Business</w:t>
      </w:r>
      <w:r w:rsidRPr="00C057B6">
        <w:rPr>
          <w:rFonts w:ascii="Arial" w:hAnsi="Arial" w:cs="Arial"/>
        </w:rPr>
        <w:t xml:space="preserve">, přičemž všech 5 </w:t>
      </w:r>
      <w:r w:rsidR="00CA5D8B" w:rsidRPr="00C057B6">
        <w:rPr>
          <w:rFonts w:ascii="Arial" w:hAnsi="Arial" w:cs="Arial"/>
        </w:rPr>
        <w:t xml:space="preserve">bylo přihlášeno do hodnocení </w:t>
      </w:r>
      <w:r w:rsidRPr="00C057B6">
        <w:rPr>
          <w:rFonts w:ascii="Arial" w:hAnsi="Arial" w:cs="Arial"/>
        </w:rPr>
        <w:t>pracovišti Univerzity Karlovy (Fakulta sociálních věd, Centrum pro ekonomický výzkum a doktorská studia), resp. Národohospodářským ústavem AV Č</w:t>
      </w:r>
      <w:r w:rsidR="0047602E" w:rsidRPr="00C057B6">
        <w:rPr>
          <w:rFonts w:ascii="Arial" w:hAnsi="Arial" w:cs="Arial"/>
        </w:rPr>
        <w:t>R</w:t>
      </w:r>
      <w:r w:rsidRPr="00C057B6">
        <w:rPr>
          <w:rFonts w:ascii="Arial" w:hAnsi="Arial" w:cs="Arial"/>
        </w:rPr>
        <w:t xml:space="preserve">, v. v. i. Ve všech případech se jednalo o výsledky typu J – recenzovaný odborný článek, což koresponduje s tradičním chápáním ekonomie jako „časopisecké vědy“. </w:t>
      </w:r>
      <w:r w:rsidR="0055259A" w:rsidRPr="00C057B6">
        <w:rPr>
          <w:rFonts w:ascii="Arial" w:hAnsi="Arial" w:cs="Arial"/>
        </w:rPr>
        <w:t xml:space="preserve">Oproti loňskému roku, kdy v tomto Fordu nebyl vykázán žádný špičkový výsledek, se v tomto roce pozitivně projevila možnost přihlásit do hodnocení i bibliometrizované výsledky. </w:t>
      </w:r>
      <w:r w:rsidRPr="00C057B6">
        <w:rPr>
          <w:rFonts w:ascii="Arial" w:hAnsi="Arial" w:cs="Arial"/>
        </w:rPr>
        <w:t>Všechny vykázané výsledky byly hodnoceny dle kritéria přínosu k poznání a vždy se jednalo o</w:t>
      </w:r>
      <w:r w:rsidR="00E3656E">
        <w:rPr>
          <w:rFonts w:ascii="Arial" w:hAnsi="Arial" w:cs="Arial"/>
        </w:rPr>
        <w:t> </w:t>
      </w:r>
      <w:r w:rsidRPr="00C057B6">
        <w:rPr>
          <w:rFonts w:ascii="Arial" w:hAnsi="Arial" w:cs="Arial"/>
        </w:rPr>
        <w:t>mezinárodně vysoce ceněné publikace v angličtině, ve 4 případech z 5 publikované v nejprestižnějších odborných časopisech v ekonomii vůbec (</w:t>
      </w:r>
      <w:r w:rsidRPr="00C057B6">
        <w:rPr>
          <w:rFonts w:ascii="Arial" w:hAnsi="Arial" w:cs="Arial"/>
          <w:i/>
        </w:rPr>
        <w:t>American Economic Review, Econometrica, Review of Economic Studies</w:t>
      </w:r>
      <w:r w:rsidRPr="00C057B6">
        <w:rPr>
          <w:rFonts w:ascii="Arial" w:hAnsi="Arial" w:cs="Arial"/>
        </w:rPr>
        <w:t>).</w:t>
      </w:r>
      <w:r w:rsidR="0055259A" w:rsidRPr="00C057B6">
        <w:rPr>
          <w:rFonts w:ascii="Arial" w:hAnsi="Arial" w:cs="Arial"/>
        </w:rPr>
        <w:t xml:space="preserve"> </w:t>
      </w:r>
      <w:r w:rsidR="00CA5D8B" w:rsidRPr="00C057B6">
        <w:rPr>
          <w:rFonts w:ascii="Arial" w:hAnsi="Arial" w:cs="Arial"/>
        </w:rPr>
        <w:t>Čtyři špičkové výsledky byly vykázány v rámci Fordu 5.6. Political Science</w:t>
      </w:r>
      <w:r w:rsidR="00F94D4E" w:rsidRPr="00C057B6">
        <w:rPr>
          <w:rFonts w:ascii="Arial" w:hAnsi="Arial" w:cs="Arial"/>
        </w:rPr>
        <w:t xml:space="preserve"> – dvě monografie publikované u Routledge a u Yale University Press a dva články publikované ve špičkových časopisech.</w:t>
      </w:r>
      <w:r w:rsidR="00CA5D8B" w:rsidRPr="00C057B6">
        <w:rPr>
          <w:rFonts w:ascii="Arial" w:hAnsi="Arial" w:cs="Arial"/>
        </w:rPr>
        <w:t xml:space="preserve"> </w:t>
      </w:r>
    </w:p>
    <w:p w14:paraId="3776912E" w14:textId="77777777" w:rsidR="00CA5D8B" w:rsidRPr="00C057B6" w:rsidRDefault="00CA5D8B">
      <w:pPr>
        <w:rPr>
          <w:rFonts w:ascii="Arial" w:hAnsi="Arial" w:cs="Arial"/>
        </w:rPr>
      </w:pPr>
      <w:r w:rsidRPr="00C057B6">
        <w:rPr>
          <w:rFonts w:ascii="Arial" w:hAnsi="Arial" w:cs="Arial"/>
        </w:rPr>
        <w:br w:type="page"/>
      </w:r>
    </w:p>
    <w:p w14:paraId="5AAC525F" w14:textId="77777777" w:rsidR="00CA5D8B" w:rsidRPr="00C057B6" w:rsidRDefault="00CA5D8B" w:rsidP="001C4991">
      <w:pPr>
        <w:jc w:val="both"/>
        <w:rPr>
          <w:rFonts w:ascii="Arial" w:hAnsi="Arial" w:cs="Arial"/>
        </w:rPr>
        <w:sectPr w:rsidR="00CA5D8B" w:rsidRPr="00C057B6">
          <w:footerReference w:type="even" r:id="rId10"/>
          <w:footerReference w:type="default" r:id="rId11"/>
          <w:pgSz w:w="11906" w:h="16838"/>
          <w:pgMar w:top="1417" w:right="1417" w:bottom="1417" w:left="1417" w:header="708" w:footer="708" w:gutter="0"/>
          <w:cols w:space="708"/>
          <w:docGrid w:linePitch="360"/>
        </w:sectPr>
      </w:pPr>
    </w:p>
    <w:p w14:paraId="1FE0FD5A" w14:textId="77777777" w:rsidR="00CA5D8B" w:rsidRPr="00C057B6" w:rsidRDefault="00CA5D8B" w:rsidP="001C4991">
      <w:pPr>
        <w:jc w:val="both"/>
        <w:rPr>
          <w:rFonts w:ascii="Arial" w:hAnsi="Arial" w:cs="Arial"/>
        </w:rPr>
      </w:pPr>
    </w:p>
    <w:tbl>
      <w:tblPr>
        <w:tblW w:w="12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3"/>
        <w:gridCol w:w="2989"/>
        <w:gridCol w:w="2552"/>
        <w:gridCol w:w="3118"/>
        <w:gridCol w:w="992"/>
        <w:gridCol w:w="1819"/>
      </w:tblGrid>
      <w:tr w:rsidR="00CA5D8B" w:rsidRPr="00C057B6" w14:paraId="56328CCF" w14:textId="77777777" w:rsidTr="00CA5D8B">
        <w:trPr>
          <w:trHeight w:val="300"/>
        </w:trPr>
        <w:tc>
          <w:tcPr>
            <w:tcW w:w="550" w:type="dxa"/>
            <w:shd w:val="clear" w:color="auto" w:fill="auto"/>
            <w:noWrap/>
            <w:vAlign w:val="bottom"/>
            <w:hideMark/>
          </w:tcPr>
          <w:p w14:paraId="15641C52"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 </w:t>
            </w:r>
          </w:p>
        </w:tc>
        <w:tc>
          <w:tcPr>
            <w:tcW w:w="5541" w:type="dxa"/>
            <w:gridSpan w:val="2"/>
            <w:shd w:val="clear" w:color="auto" w:fill="auto"/>
            <w:noWrap/>
            <w:vAlign w:val="bottom"/>
            <w:hideMark/>
          </w:tcPr>
          <w:p w14:paraId="3C9F393A" w14:textId="77777777" w:rsidR="00CA5D8B" w:rsidRPr="00C057B6" w:rsidRDefault="00CA5D8B" w:rsidP="00CA5D8B">
            <w:pPr>
              <w:spacing w:after="0" w:line="240" w:lineRule="auto"/>
              <w:rPr>
                <w:rFonts w:ascii="Arial" w:eastAsia="Times New Roman" w:hAnsi="Arial" w:cs="Arial"/>
                <w:b/>
                <w:bCs/>
                <w:color w:val="000000"/>
                <w:lang w:eastAsia="cs-CZ"/>
              </w:rPr>
            </w:pPr>
            <w:r w:rsidRPr="00C057B6">
              <w:rPr>
                <w:rFonts w:ascii="Arial" w:eastAsia="Times New Roman" w:hAnsi="Arial" w:cs="Arial"/>
                <w:b/>
                <w:bCs/>
                <w:color w:val="000000"/>
                <w:lang w:eastAsia="cs-CZ"/>
              </w:rPr>
              <w:t>Špičkové výsledky</w:t>
            </w:r>
          </w:p>
        </w:tc>
        <w:tc>
          <w:tcPr>
            <w:tcW w:w="3118" w:type="dxa"/>
            <w:shd w:val="clear" w:color="auto" w:fill="auto"/>
            <w:noWrap/>
            <w:vAlign w:val="bottom"/>
            <w:hideMark/>
          </w:tcPr>
          <w:p w14:paraId="43632BD4"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 </w:t>
            </w:r>
          </w:p>
        </w:tc>
        <w:tc>
          <w:tcPr>
            <w:tcW w:w="992" w:type="dxa"/>
            <w:shd w:val="clear" w:color="auto" w:fill="auto"/>
            <w:noWrap/>
            <w:vAlign w:val="bottom"/>
            <w:hideMark/>
          </w:tcPr>
          <w:p w14:paraId="4E9541FA"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 </w:t>
            </w:r>
          </w:p>
        </w:tc>
        <w:tc>
          <w:tcPr>
            <w:tcW w:w="1819" w:type="dxa"/>
            <w:shd w:val="clear" w:color="auto" w:fill="auto"/>
            <w:noWrap/>
            <w:vAlign w:val="bottom"/>
            <w:hideMark/>
          </w:tcPr>
          <w:p w14:paraId="4F10E51E"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 </w:t>
            </w:r>
          </w:p>
        </w:tc>
      </w:tr>
      <w:tr w:rsidR="00CA5D8B" w:rsidRPr="00C057B6" w14:paraId="2C6DE797" w14:textId="77777777" w:rsidTr="00CA5D8B">
        <w:trPr>
          <w:trHeight w:val="315"/>
        </w:trPr>
        <w:tc>
          <w:tcPr>
            <w:tcW w:w="550" w:type="dxa"/>
            <w:shd w:val="clear" w:color="auto" w:fill="auto"/>
            <w:noWrap/>
            <w:vAlign w:val="bottom"/>
            <w:hideMark/>
          </w:tcPr>
          <w:p w14:paraId="6C50C407"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Ford</w:t>
            </w:r>
          </w:p>
        </w:tc>
        <w:tc>
          <w:tcPr>
            <w:tcW w:w="2989" w:type="dxa"/>
            <w:shd w:val="clear" w:color="auto" w:fill="auto"/>
            <w:noWrap/>
            <w:vAlign w:val="bottom"/>
            <w:hideMark/>
          </w:tcPr>
          <w:p w14:paraId="717D30C8"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Název</w:t>
            </w:r>
          </w:p>
        </w:tc>
        <w:tc>
          <w:tcPr>
            <w:tcW w:w="2552" w:type="dxa"/>
            <w:shd w:val="clear" w:color="auto" w:fill="auto"/>
            <w:noWrap/>
            <w:vAlign w:val="bottom"/>
            <w:hideMark/>
          </w:tcPr>
          <w:p w14:paraId="6AC56CC1"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autor</w:t>
            </w:r>
          </w:p>
        </w:tc>
        <w:tc>
          <w:tcPr>
            <w:tcW w:w="3118" w:type="dxa"/>
            <w:shd w:val="clear" w:color="auto" w:fill="auto"/>
            <w:noWrap/>
            <w:vAlign w:val="bottom"/>
            <w:hideMark/>
          </w:tcPr>
          <w:p w14:paraId="32EA0AF2"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VO</w:t>
            </w:r>
          </w:p>
        </w:tc>
        <w:tc>
          <w:tcPr>
            <w:tcW w:w="992" w:type="dxa"/>
            <w:shd w:val="clear" w:color="auto" w:fill="auto"/>
            <w:noWrap/>
            <w:vAlign w:val="bottom"/>
            <w:hideMark/>
          </w:tcPr>
          <w:p w14:paraId="57B2AFDE"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druh</w:t>
            </w:r>
          </w:p>
        </w:tc>
        <w:tc>
          <w:tcPr>
            <w:tcW w:w="1819" w:type="dxa"/>
            <w:shd w:val="clear" w:color="auto" w:fill="auto"/>
            <w:noWrap/>
            <w:vAlign w:val="bottom"/>
            <w:hideMark/>
          </w:tcPr>
          <w:p w14:paraId="7D11BC33"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kritérium hodnocení</w:t>
            </w:r>
          </w:p>
        </w:tc>
      </w:tr>
      <w:tr w:rsidR="00CA5D8B" w:rsidRPr="00C057B6" w14:paraId="725DD926" w14:textId="77777777" w:rsidTr="00CA5D8B">
        <w:trPr>
          <w:trHeight w:val="300"/>
        </w:trPr>
        <w:tc>
          <w:tcPr>
            <w:tcW w:w="550" w:type="dxa"/>
            <w:shd w:val="clear" w:color="auto" w:fill="auto"/>
            <w:noWrap/>
            <w:vAlign w:val="bottom"/>
            <w:hideMark/>
          </w:tcPr>
          <w:p w14:paraId="0F5A5776"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5.1.</w:t>
            </w:r>
          </w:p>
        </w:tc>
        <w:tc>
          <w:tcPr>
            <w:tcW w:w="2989" w:type="dxa"/>
            <w:shd w:val="clear" w:color="auto" w:fill="auto"/>
            <w:noWrap/>
            <w:vAlign w:val="center"/>
            <w:hideMark/>
          </w:tcPr>
          <w:p w14:paraId="17DA07E9"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How accurate are national stereotypes? A test of different methodological approaches</w:t>
            </w:r>
          </w:p>
        </w:tc>
        <w:tc>
          <w:tcPr>
            <w:tcW w:w="2552" w:type="dxa"/>
            <w:shd w:val="clear" w:color="auto" w:fill="auto"/>
            <w:noWrap/>
            <w:vAlign w:val="bottom"/>
            <w:hideMark/>
          </w:tcPr>
          <w:p w14:paraId="226E3868"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Hřebíčková, Martina;Mõttus, R.;Graf, Sylvie;Jelínek, Martin;Realo, A.</w:t>
            </w:r>
          </w:p>
        </w:tc>
        <w:tc>
          <w:tcPr>
            <w:tcW w:w="3118" w:type="dxa"/>
            <w:shd w:val="clear" w:color="auto" w:fill="auto"/>
            <w:noWrap/>
            <w:vAlign w:val="center"/>
            <w:hideMark/>
          </w:tcPr>
          <w:p w14:paraId="7976C18C"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Psychologický ústav AV ČR, v. v. i.</w:t>
            </w:r>
          </w:p>
        </w:tc>
        <w:tc>
          <w:tcPr>
            <w:tcW w:w="992" w:type="dxa"/>
            <w:shd w:val="clear" w:color="auto" w:fill="auto"/>
            <w:noWrap/>
            <w:vAlign w:val="bottom"/>
            <w:hideMark/>
          </w:tcPr>
          <w:p w14:paraId="5BEC1AE8" w14:textId="77777777" w:rsidR="00CA5D8B" w:rsidRPr="00C057B6" w:rsidRDefault="00CA5D8B" w:rsidP="00CA5D8B">
            <w:pPr>
              <w:spacing w:after="0" w:line="240" w:lineRule="auto"/>
              <w:jc w:val="center"/>
              <w:rPr>
                <w:rFonts w:ascii="Arial" w:eastAsia="Times New Roman" w:hAnsi="Arial" w:cs="Arial"/>
                <w:color w:val="000000"/>
                <w:lang w:eastAsia="cs-CZ"/>
              </w:rPr>
            </w:pPr>
            <w:r w:rsidRPr="00C057B6">
              <w:rPr>
                <w:rFonts w:ascii="Arial" w:eastAsia="Times New Roman" w:hAnsi="Arial" w:cs="Arial"/>
                <w:color w:val="000000"/>
                <w:lang w:eastAsia="cs-CZ"/>
              </w:rPr>
              <w:t>Článek</w:t>
            </w:r>
          </w:p>
        </w:tc>
        <w:tc>
          <w:tcPr>
            <w:tcW w:w="1819" w:type="dxa"/>
            <w:shd w:val="clear" w:color="auto" w:fill="auto"/>
            <w:noWrap/>
            <w:vAlign w:val="bottom"/>
            <w:hideMark/>
          </w:tcPr>
          <w:p w14:paraId="0BD12AA6"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Přínos k poznání</w:t>
            </w:r>
          </w:p>
        </w:tc>
      </w:tr>
      <w:tr w:rsidR="00CA5D8B" w:rsidRPr="00C057B6" w14:paraId="16C31756" w14:textId="77777777" w:rsidTr="00CA5D8B">
        <w:trPr>
          <w:trHeight w:val="300"/>
        </w:trPr>
        <w:tc>
          <w:tcPr>
            <w:tcW w:w="550" w:type="dxa"/>
            <w:shd w:val="clear" w:color="auto" w:fill="auto"/>
            <w:noWrap/>
            <w:vAlign w:val="bottom"/>
            <w:hideMark/>
          </w:tcPr>
          <w:p w14:paraId="15608583"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5.1.</w:t>
            </w:r>
          </w:p>
        </w:tc>
        <w:tc>
          <w:tcPr>
            <w:tcW w:w="2989" w:type="dxa"/>
            <w:shd w:val="clear" w:color="auto" w:fill="auto"/>
            <w:noWrap/>
            <w:vAlign w:val="center"/>
            <w:hideMark/>
          </w:tcPr>
          <w:p w14:paraId="32EEAC10"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Girls' and boys' experience with teen sexting in early and late adolescence</w:t>
            </w:r>
          </w:p>
        </w:tc>
        <w:tc>
          <w:tcPr>
            <w:tcW w:w="2552" w:type="dxa"/>
            <w:shd w:val="clear" w:color="auto" w:fill="auto"/>
            <w:noWrap/>
            <w:vAlign w:val="bottom"/>
            <w:hideMark/>
          </w:tcPr>
          <w:p w14:paraId="094BA181"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Ševčíková, Anna</w:t>
            </w:r>
          </w:p>
        </w:tc>
        <w:tc>
          <w:tcPr>
            <w:tcW w:w="3118" w:type="dxa"/>
            <w:shd w:val="clear" w:color="auto" w:fill="auto"/>
            <w:noWrap/>
            <w:vAlign w:val="center"/>
            <w:hideMark/>
          </w:tcPr>
          <w:p w14:paraId="357F947A"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Masarykova univerzita/Fakulta sociálních studií</w:t>
            </w:r>
          </w:p>
        </w:tc>
        <w:tc>
          <w:tcPr>
            <w:tcW w:w="992" w:type="dxa"/>
            <w:shd w:val="clear" w:color="auto" w:fill="auto"/>
            <w:noWrap/>
            <w:vAlign w:val="bottom"/>
            <w:hideMark/>
          </w:tcPr>
          <w:p w14:paraId="7A6FD226" w14:textId="77777777" w:rsidR="00CA5D8B" w:rsidRPr="00C057B6" w:rsidRDefault="00CA5D8B" w:rsidP="00CA5D8B">
            <w:pPr>
              <w:spacing w:after="0" w:line="240" w:lineRule="auto"/>
              <w:jc w:val="center"/>
              <w:rPr>
                <w:rFonts w:ascii="Arial" w:eastAsia="Times New Roman" w:hAnsi="Arial" w:cs="Arial"/>
                <w:color w:val="000000"/>
                <w:lang w:eastAsia="cs-CZ"/>
              </w:rPr>
            </w:pPr>
            <w:r w:rsidRPr="00C057B6">
              <w:rPr>
                <w:rFonts w:ascii="Arial" w:eastAsia="Times New Roman" w:hAnsi="Arial" w:cs="Arial"/>
                <w:color w:val="000000"/>
                <w:lang w:eastAsia="cs-CZ"/>
              </w:rPr>
              <w:t>Článek</w:t>
            </w:r>
          </w:p>
        </w:tc>
        <w:tc>
          <w:tcPr>
            <w:tcW w:w="1819" w:type="dxa"/>
            <w:shd w:val="clear" w:color="auto" w:fill="auto"/>
            <w:noWrap/>
            <w:vAlign w:val="bottom"/>
            <w:hideMark/>
          </w:tcPr>
          <w:p w14:paraId="2EDE0719"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Přínos k poznání</w:t>
            </w:r>
          </w:p>
        </w:tc>
      </w:tr>
      <w:tr w:rsidR="00CA5D8B" w:rsidRPr="00C057B6" w14:paraId="6FC4386C" w14:textId="77777777" w:rsidTr="00CA5D8B">
        <w:trPr>
          <w:trHeight w:val="300"/>
        </w:trPr>
        <w:tc>
          <w:tcPr>
            <w:tcW w:w="550" w:type="dxa"/>
            <w:shd w:val="clear" w:color="auto" w:fill="auto"/>
            <w:noWrap/>
            <w:vAlign w:val="bottom"/>
            <w:hideMark/>
          </w:tcPr>
          <w:p w14:paraId="5562FC22"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5.1.</w:t>
            </w:r>
          </w:p>
        </w:tc>
        <w:tc>
          <w:tcPr>
            <w:tcW w:w="2989" w:type="dxa"/>
            <w:shd w:val="clear" w:color="auto" w:fill="auto"/>
            <w:noWrap/>
            <w:vAlign w:val="center"/>
            <w:hideMark/>
          </w:tcPr>
          <w:p w14:paraId="516F7F8A"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Digital Technology, Eating Behaviors, and Eating Disorders</w:t>
            </w:r>
          </w:p>
        </w:tc>
        <w:tc>
          <w:tcPr>
            <w:tcW w:w="2552" w:type="dxa"/>
            <w:shd w:val="clear" w:color="auto" w:fill="auto"/>
            <w:noWrap/>
            <w:vAlign w:val="bottom"/>
            <w:hideMark/>
          </w:tcPr>
          <w:p w14:paraId="3D7CAD25"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Šmahel, David;Macháčková, Hana;Šmahelová, Martina;Čevelíček, Michal;Almenara, Carlos Arturo;Holubčíková, Jana</w:t>
            </w:r>
          </w:p>
        </w:tc>
        <w:tc>
          <w:tcPr>
            <w:tcW w:w="3118" w:type="dxa"/>
            <w:shd w:val="clear" w:color="auto" w:fill="auto"/>
            <w:noWrap/>
            <w:vAlign w:val="center"/>
            <w:hideMark/>
          </w:tcPr>
          <w:p w14:paraId="730B4060"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Masarykova univerzita/Fakulta sociálních studií</w:t>
            </w:r>
          </w:p>
        </w:tc>
        <w:tc>
          <w:tcPr>
            <w:tcW w:w="992" w:type="dxa"/>
            <w:shd w:val="clear" w:color="auto" w:fill="auto"/>
            <w:noWrap/>
            <w:vAlign w:val="bottom"/>
            <w:hideMark/>
          </w:tcPr>
          <w:p w14:paraId="11B19E36" w14:textId="77777777" w:rsidR="00CA5D8B" w:rsidRPr="00C057B6" w:rsidRDefault="00CA5D8B" w:rsidP="00CA5D8B">
            <w:pPr>
              <w:spacing w:after="0" w:line="240" w:lineRule="auto"/>
              <w:jc w:val="center"/>
              <w:rPr>
                <w:rFonts w:ascii="Arial" w:eastAsia="Times New Roman" w:hAnsi="Arial" w:cs="Arial"/>
                <w:color w:val="000000"/>
                <w:lang w:eastAsia="cs-CZ"/>
              </w:rPr>
            </w:pPr>
            <w:r w:rsidRPr="00C057B6">
              <w:rPr>
                <w:rFonts w:ascii="Arial" w:eastAsia="Times New Roman" w:hAnsi="Arial" w:cs="Arial"/>
                <w:color w:val="000000"/>
                <w:lang w:eastAsia="cs-CZ"/>
              </w:rPr>
              <w:t>Kniha</w:t>
            </w:r>
          </w:p>
        </w:tc>
        <w:tc>
          <w:tcPr>
            <w:tcW w:w="1819" w:type="dxa"/>
            <w:shd w:val="clear" w:color="auto" w:fill="auto"/>
            <w:noWrap/>
            <w:vAlign w:val="bottom"/>
            <w:hideMark/>
          </w:tcPr>
          <w:p w14:paraId="660F307E"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Přínos k poznání</w:t>
            </w:r>
          </w:p>
        </w:tc>
      </w:tr>
      <w:tr w:rsidR="00CA5D8B" w:rsidRPr="00C057B6" w14:paraId="6DDBF90A" w14:textId="77777777" w:rsidTr="00CA5D8B">
        <w:trPr>
          <w:trHeight w:val="300"/>
        </w:trPr>
        <w:tc>
          <w:tcPr>
            <w:tcW w:w="550" w:type="dxa"/>
            <w:shd w:val="clear" w:color="auto" w:fill="auto"/>
            <w:noWrap/>
            <w:vAlign w:val="bottom"/>
            <w:hideMark/>
          </w:tcPr>
          <w:p w14:paraId="55B58197"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5.2.</w:t>
            </w:r>
          </w:p>
        </w:tc>
        <w:tc>
          <w:tcPr>
            <w:tcW w:w="2989" w:type="dxa"/>
            <w:shd w:val="clear" w:color="auto" w:fill="auto"/>
            <w:noWrap/>
            <w:hideMark/>
          </w:tcPr>
          <w:p w14:paraId="2F396F86"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Attention Discrimination: Theory and Field Experiments with Monitoring Information Acquisition</w:t>
            </w:r>
          </w:p>
        </w:tc>
        <w:tc>
          <w:tcPr>
            <w:tcW w:w="2552" w:type="dxa"/>
            <w:shd w:val="clear" w:color="auto" w:fill="auto"/>
            <w:noWrap/>
            <w:vAlign w:val="bottom"/>
            <w:hideMark/>
          </w:tcPr>
          <w:p w14:paraId="49783036"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Bartoš, Vojtěch; Bauer, Michal; Chytilová, Julie; Matějka, Filip</w:t>
            </w:r>
          </w:p>
        </w:tc>
        <w:tc>
          <w:tcPr>
            <w:tcW w:w="3118" w:type="dxa"/>
            <w:shd w:val="clear" w:color="auto" w:fill="auto"/>
            <w:noWrap/>
            <w:hideMark/>
          </w:tcPr>
          <w:p w14:paraId="22DE5ADD"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Univerzita Karlova/Fakulta sociálních věd; Národohospodářský ústav AV ČR, v. v. i.</w:t>
            </w:r>
          </w:p>
        </w:tc>
        <w:tc>
          <w:tcPr>
            <w:tcW w:w="992" w:type="dxa"/>
            <w:shd w:val="clear" w:color="auto" w:fill="auto"/>
            <w:noWrap/>
            <w:hideMark/>
          </w:tcPr>
          <w:p w14:paraId="4750A28E" w14:textId="77777777" w:rsidR="00CA5D8B" w:rsidRPr="00C057B6" w:rsidRDefault="00CA5D8B" w:rsidP="00CA5D8B">
            <w:pPr>
              <w:spacing w:after="0" w:line="240" w:lineRule="auto"/>
              <w:jc w:val="center"/>
              <w:rPr>
                <w:rFonts w:ascii="Arial" w:eastAsia="Times New Roman" w:hAnsi="Arial" w:cs="Arial"/>
                <w:color w:val="000000"/>
                <w:lang w:eastAsia="cs-CZ"/>
              </w:rPr>
            </w:pPr>
            <w:r w:rsidRPr="00C057B6">
              <w:rPr>
                <w:rFonts w:ascii="Arial" w:eastAsia="Times New Roman" w:hAnsi="Arial" w:cs="Arial"/>
                <w:color w:val="000000"/>
                <w:lang w:eastAsia="cs-CZ"/>
              </w:rPr>
              <w:t>Článek</w:t>
            </w:r>
          </w:p>
        </w:tc>
        <w:tc>
          <w:tcPr>
            <w:tcW w:w="1819" w:type="dxa"/>
            <w:shd w:val="clear" w:color="auto" w:fill="auto"/>
            <w:noWrap/>
            <w:hideMark/>
          </w:tcPr>
          <w:p w14:paraId="7B790C5B"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Přínos k poznání</w:t>
            </w:r>
          </w:p>
        </w:tc>
      </w:tr>
      <w:tr w:rsidR="00CA5D8B" w:rsidRPr="00C057B6" w14:paraId="0F92FD32" w14:textId="77777777" w:rsidTr="00CA5D8B">
        <w:trPr>
          <w:trHeight w:val="300"/>
        </w:trPr>
        <w:tc>
          <w:tcPr>
            <w:tcW w:w="550" w:type="dxa"/>
            <w:shd w:val="clear" w:color="auto" w:fill="auto"/>
            <w:noWrap/>
            <w:vAlign w:val="bottom"/>
            <w:hideMark/>
          </w:tcPr>
          <w:p w14:paraId="2AEDE9BF"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5.2.</w:t>
            </w:r>
          </w:p>
        </w:tc>
        <w:tc>
          <w:tcPr>
            <w:tcW w:w="2989" w:type="dxa"/>
            <w:shd w:val="clear" w:color="auto" w:fill="auto"/>
            <w:noWrap/>
            <w:vAlign w:val="center"/>
            <w:hideMark/>
          </w:tcPr>
          <w:p w14:paraId="042D1AA2"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Do Borders Really Slash Trade? A Meta-Analysis</w:t>
            </w:r>
          </w:p>
        </w:tc>
        <w:tc>
          <w:tcPr>
            <w:tcW w:w="2552" w:type="dxa"/>
            <w:shd w:val="clear" w:color="auto" w:fill="auto"/>
            <w:noWrap/>
            <w:hideMark/>
          </w:tcPr>
          <w:p w14:paraId="51636EF3"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 xml:space="preserve">Havránek, Tomáš; Iršová, Zuzana </w:t>
            </w:r>
          </w:p>
        </w:tc>
        <w:tc>
          <w:tcPr>
            <w:tcW w:w="3118" w:type="dxa"/>
            <w:shd w:val="clear" w:color="auto" w:fill="auto"/>
            <w:noWrap/>
            <w:hideMark/>
          </w:tcPr>
          <w:p w14:paraId="6EA43FA9"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Univerzita Karlova/Fakulta sociálních věd</w:t>
            </w:r>
          </w:p>
        </w:tc>
        <w:tc>
          <w:tcPr>
            <w:tcW w:w="992" w:type="dxa"/>
            <w:shd w:val="clear" w:color="auto" w:fill="auto"/>
            <w:noWrap/>
            <w:hideMark/>
          </w:tcPr>
          <w:p w14:paraId="2E2B1900" w14:textId="77777777" w:rsidR="00CA5D8B" w:rsidRPr="00C057B6" w:rsidRDefault="00CA5D8B" w:rsidP="00CA5D8B">
            <w:pPr>
              <w:spacing w:after="0" w:line="240" w:lineRule="auto"/>
              <w:jc w:val="center"/>
              <w:rPr>
                <w:rFonts w:ascii="Arial" w:eastAsia="Times New Roman" w:hAnsi="Arial" w:cs="Arial"/>
                <w:color w:val="000000"/>
                <w:lang w:eastAsia="cs-CZ"/>
              </w:rPr>
            </w:pPr>
            <w:r w:rsidRPr="00C057B6">
              <w:rPr>
                <w:rFonts w:ascii="Arial" w:eastAsia="Times New Roman" w:hAnsi="Arial" w:cs="Arial"/>
                <w:color w:val="000000"/>
                <w:lang w:eastAsia="cs-CZ"/>
              </w:rPr>
              <w:t>Článek</w:t>
            </w:r>
          </w:p>
        </w:tc>
        <w:tc>
          <w:tcPr>
            <w:tcW w:w="1819" w:type="dxa"/>
            <w:shd w:val="clear" w:color="auto" w:fill="auto"/>
            <w:noWrap/>
            <w:hideMark/>
          </w:tcPr>
          <w:p w14:paraId="466AF056"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Přínos k poznání</w:t>
            </w:r>
          </w:p>
        </w:tc>
      </w:tr>
      <w:tr w:rsidR="00CA5D8B" w:rsidRPr="00C057B6" w14:paraId="6D1DA5DF" w14:textId="77777777" w:rsidTr="00CA5D8B">
        <w:trPr>
          <w:trHeight w:val="300"/>
        </w:trPr>
        <w:tc>
          <w:tcPr>
            <w:tcW w:w="550" w:type="dxa"/>
            <w:shd w:val="clear" w:color="auto" w:fill="auto"/>
            <w:noWrap/>
            <w:vAlign w:val="bottom"/>
            <w:hideMark/>
          </w:tcPr>
          <w:p w14:paraId="15081480"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5.2.</w:t>
            </w:r>
          </w:p>
        </w:tc>
        <w:tc>
          <w:tcPr>
            <w:tcW w:w="2989" w:type="dxa"/>
            <w:shd w:val="clear" w:color="auto" w:fill="auto"/>
            <w:noWrap/>
            <w:hideMark/>
          </w:tcPr>
          <w:p w14:paraId="720721DA"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Rational inattention dynamics: inertia and delay in decision-making</w:t>
            </w:r>
          </w:p>
        </w:tc>
        <w:tc>
          <w:tcPr>
            <w:tcW w:w="2552" w:type="dxa"/>
            <w:shd w:val="clear" w:color="auto" w:fill="auto"/>
            <w:noWrap/>
            <w:hideMark/>
          </w:tcPr>
          <w:p w14:paraId="16AAA09C"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Steiner, Jakub; Stewart, Colin; Matějka, Filip</w:t>
            </w:r>
          </w:p>
        </w:tc>
        <w:tc>
          <w:tcPr>
            <w:tcW w:w="3118" w:type="dxa"/>
            <w:shd w:val="clear" w:color="auto" w:fill="auto"/>
            <w:noWrap/>
            <w:hideMark/>
          </w:tcPr>
          <w:p w14:paraId="2AE03041"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Univerzita Karlova/Centrum pro ekonomický výzkum a doktorská studia; Národohospodářský ústav AV ČR, v. v. i.</w:t>
            </w:r>
          </w:p>
        </w:tc>
        <w:tc>
          <w:tcPr>
            <w:tcW w:w="992" w:type="dxa"/>
            <w:shd w:val="clear" w:color="auto" w:fill="auto"/>
            <w:noWrap/>
            <w:hideMark/>
          </w:tcPr>
          <w:p w14:paraId="75A7EE33" w14:textId="77777777" w:rsidR="00CA5D8B" w:rsidRPr="00C057B6" w:rsidRDefault="00CA5D8B" w:rsidP="00CA5D8B">
            <w:pPr>
              <w:spacing w:after="0" w:line="240" w:lineRule="auto"/>
              <w:jc w:val="center"/>
              <w:rPr>
                <w:rFonts w:ascii="Arial" w:eastAsia="Times New Roman" w:hAnsi="Arial" w:cs="Arial"/>
                <w:color w:val="000000"/>
                <w:lang w:eastAsia="cs-CZ"/>
              </w:rPr>
            </w:pPr>
            <w:r w:rsidRPr="00C057B6">
              <w:rPr>
                <w:rFonts w:ascii="Arial" w:eastAsia="Times New Roman" w:hAnsi="Arial" w:cs="Arial"/>
                <w:color w:val="000000"/>
                <w:lang w:eastAsia="cs-CZ"/>
              </w:rPr>
              <w:t>Článek</w:t>
            </w:r>
          </w:p>
        </w:tc>
        <w:tc>
          <w:tcPr>
            <w:tcW w:w="1819" w:type="dxa"/>
            <w:shd w:val="clear" w:color="auto" w:fill="auto"/>
            <w:noWrap/>
            <w:hideMark/>
          </w:tcPr>
          <w:p w14:paraId="466A0A65"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Přínos k poznání</w:t>
            </w:r>
          </w:p>
        </w:tc>
      </w:tr>
      <w:tr w:rsidR="00CA5D8B" w:rsidRPr="00C057B6" w14:paraId="394A5907" w14:textId="77777777" w:rsidTr="00CA5D8B">
        <w:trPr>
          <w:trHeight w:val="300"/>
        </w:trPr>
        <w:tc>
          <w:tcPr>
            <w:tcW w:w="550" w:type="dxa"/>
            <w:shd w:val="clear" w:color="auto" w:fill="auto"/>
            <w:noWrap/>
            <w:vAlign w:val="bottom"/>
            <w:hideMark/>
          </w:tcPr>
          <w:p w14:paraId="25714C68"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5.2.</w:t>
            </w:r>
          </w:p>
        </w:tc>
        <w:tc>
          <w:tcPr>
            <w:tcW w:w="2989" w:type="dxa"/>
            <w:shd w:val="clear" w:color="auto" w:fill="auto"/>
            <w:noWrap/>
            <w:hideMark/>
          </w:tcPr>
          <w:p w14:paraId="068CF6F2"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Perceiving prospects properly</w:t>
            </w:r>
          </w:p>
        </w:tc>
        <w:tc>
          <w:tcPr>
            <w:tcW w:w="2552" w:type="dxa"/>
            <w:shd w:val="clear" w:color="auto" w:fill="auto"/>
            <w:noWrap/>
            <w:hideMark/>
          </w:tcPr>
          <w:p w14:paraId="68EA4820"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Steiner, Jakub; Stewart, Colin</w:t>
            </w:r>
          </w:p>
        </w:tc>
        <w:tc>
          <w:tcPr>
            <w:tcW w:w="3118" w:type="dxa"/>
            <w:shd w:val="clear" w:color="auto" w:fill="auto"/>
            <w:noWrap/>
            <w:hideMark/>
          </w:tcPr>
          <w:p w14:paraId="7EDDE5E3"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Národohospodářský ústav AV ČR, v. v. i.</w:t>
            </w:r>
          </w:p>
        </w:tc>
        <w:tc>
          <w:tcPr>
            <w:tcW w:w="992" w:type="dxa"/>
            <w:shd w:val="clear" w:color="auto" w:fill="auto"/>
            <w:noWrap/>
            <w:hideMark/>
          </w:tcPr>
          <w:p w14:paraId="21C935BF" w14:textId="77777777" w:rsidR="00CA5D8B" w:rsidRPr="00C057B6" w:rsidRDefault="00CA5D8B" w:rsidP="00CA5D8B">
            <w:pPr>
              <w:spacing w:after="0" w:line="240" w:lineRule="auto"/>
              <w:jc w:val="center"/>
              <w:rPr>
                <w:rFonts w:ascii="Arial" w:eastAsia="Times New Roman" w:hAnsi="Arial" w:cs="Arial"/>
                <w:color w:val="000000"/>
                <w:lang w:eastAsia="cs-CZ"/>
              </w:rPr>
            </w:pPr>
            <w:r w:rsidRPr="00C057B6">
              <w:rPr>
                <w:rFonts w:ascii="Arial" w:eastAsia="Times New Roman" w:hAnsi="Arial" w:cs="Arial"/>
                <w:color w:val="000000"/>
                <w:lang w:eastAsia="cs-CZ"/>
              </w:rPr>
              <w:t>Článek</w:t>
            </w:r>
          </w:p>
        </w:tc>
        <w:tc>
          <w:tcPr>
            <w:tcW w:w="1819" w:type="dxa"/>
            <w:shd w:val="clear" w:color="auto" w:fill="auto"/>
            <w:noWrap/>
            <w:hideMark/>
          </w:tcPr>
          <w:p w14:paraId="3F1F92AA"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Přínos k poznání</w:t>
            </w:r>
          </w:p>
        </w:tc>
      </w:tr>
      <w:tr w:rsidR="00CA5D8B" w:rsidRPr="00C057B6" w14:paraId="6AAFDDA5" w14:textId="77777777" w:rsidTr="00CA5D8B">
        <w:trPr>
          <w:trHeight w:val="300"/>
        </w:trPr>
        <w:tc>
          <w:tcPr>
            <w:tcW w:w="550" w:type="dxa"/>
            <w:shd w:val="clear" w:color="auto" w:fill="auto"/>
            <w:noWrap/>
            <w:vAlign w:val="bottom"/>
            <w:hideMark/>
          </w:tcPr>
          <w:p w14:paraId="74463024"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5.2.</w:t>
            </w:r>
          </w:p>
        </w:tc>
        <w:tc>
          <w:tcPr>
            <w:tcW w:w="2989" w:type="dxa"/>
            <w:shd w:val="clear" w:color="auto" w:fill="auto"/>
            <w:noWrap/>
            <w:hideMark/>
          </w:tcPr>
          <w:p w14:paraId="43B1C3AC"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Rational inattentive seller: sales and discrete pricing</w:t>
            </w:r>
          </w:p>
        </w:tc>
        <w:tc>
          <w:tcPr>
            <w:tcW w:w="2552" w:type="dxa"/>
            <w:shd w:val="clear" w:color="auto" w:fill="auto"/>
            <w:noWrap/>
            <w:hideMark/>
          </w:tcPr>
          <w:p w14:paraId="15AC7B39"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Matějka, Filip</w:t>
            </w:r>
          </w:p>
        </w:tc>
        <w:tc>
          <w:tcPr>
            <w:tcW w:w="3118" w:type="dxa"/>
            <w:shd w:val="clear" w:color="auto" w:fill="auto"/>
            <w:noWrap/>
            <w:hideMark/>
          </w:tcPr>
          <w:p w14:paraId="14FFF61A"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Národohospodářský ústav AV ČR, v. v. i.</w:t>
            </w:r>
          </w:p>
        </w:tc>
        <w:tc>
          <w:tcPr>
            <w:tcW w:w="992" w:type="dxa"/>
            <w:shd w:val="clear" w:color="auto" w:fill="auto"/>
            <w:noWrap/>
            <w:hideMark/>
          </w:tcPr>
          <w:p w14:paraId="3A91065B" w14:textId="77777777" w:rsidR="00CA5D8B" w:rsidRPr="00C057B6" w:rsidRDefault="00CA5D8B" w:rsidP="00CA5D8B">
            <w:pPr>
              <w:spacing w:after="0" w:line="240" w:lineRule="auto"/>
              <w:jc w:val="center"/>
              <w:rPr>
                <w:rFonts w:ascii="Arial" w:eastAsia="Times New Roman" w:hAnsi="Arial" w:cs="Arial"/>
                <w:color w:val="000000"/>
                <w:lang w:eastAsia="cs-CZ"/>
              </w:rPr>
            </w:pPr>
            <w:r w:rsidRPr="00C057B6">
              <w:rPr>
                <w:rFonts w:ascii="Arial" w:eastAsia="Times New Roman" w:hAnsi="Arial" w:cs="Arial"/>
                <w:color w:val="000000"/>
                <w:lang w:eastAsia="cs-CZ"/>
              </w:rPr>
              <w:t>Článek</w:t>
            </w:r>
          </w:p>
        </w:tc>
        <w:tc>
          <w:tcPr>
            <w:tcW w:w="1819" w:type="dxa"/>
            <w:shd w:val="clear" w:color="auto" w:fill="auto"/>
            <w:noWrap/>
            <w:hideMark/>
          </w:tcPr>
          <w:p w14:paraId="68ADB2C3"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Přínos k poznání</w:t>
            </w:r>
          </w:p>
        </w:tc>
      </w:tr>
      <w:tr w:rsidR="00CA5D8B" w:rsidRPr="00C057B6" w14:paraId="1426675E" w14:textId="77777777" w:rsidTr="00CA5D8B">
        <w:trPr>
          <w:trHeight w:val="300"/>
        </w:trPr>
        <w:tc>
          <w:tcPr>
            <w:tcW w:w="550" w:type="dxa"/>
            <w:shd w:val="clear" w:color="auto" w:fill="auto"/>
            <w:noWrap/>
            <w:vAlign w:val="bottom"/>
            <w:hideMark/>
          </w:tcPr>
          <w:p w14:paraId="77D6F7FA"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lastRenderedPageBreak/>
              <w:t>5.3.</w:t>
            </w:r>
          </w:p>
        </w:tc>
        <w:tc>
          <w:tcPr>
            <w:tcW w:w="2989" w:type="dxa"/>
            <w:shd w:val="clear" w:color="auto" w:fill="auto"/>
            <w:noWrap/>
            <w:vAlign w:val="bottom"/>
            <w:hideMark/>
          </w:tcPr>
          <w:p w14:paraId="0CF42763"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On the Roles of Language in Mathematics Education</w:t>
            </w:r>
          </w:p>
        </w:tc>
        <w:tc>
          <w:tcPr>
            <w:tcW w:w="2552" w:type="dxa"/>
            <w:shd w:val="clear" w:color="auto" w:fill="auto"/>
            <w:noWrap/>
            <w:vAlign w:val="bottom"/>
            <w:hideMark/>
          </w:tcPr>
          <w:p w14:paraId="0D97B44B"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Kvasz, Ladislav</w:t>
            </w:r>
          </w:p>
        </w:tc>
        <w:tc>
          <w:tcPr>
            <w:tcW w:w="3118" w:type="dxa"/>
            <w:shd w:val="clear" w:color="auto" w:fill="auto"/>
            <w:noWrap/>
            <w:vAlign w:val="bottom"/>
            <w:hideMark/>
          </w:tcPr>
          <w:p w14:paraId="0FEC64FC"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Univerzita Karlova/Pedagogická fakulta</w:t>
            </w:r>
          </w:p>
        </w:tc>
        <w:tc>
          <w:tcPr>
            <w:tcW w:w="992" w:type="dxa"/>
            <w:shd w:val="clear" w:color="auto" w:fill="auto"/>
            <w:noWrap/>
            <w:vAlign w:val="bottom"/>
            <w:hideMark/>
          </w:tcPr>
          <w:p w14:paraId="7AEAD2D0" w14:textId="77777777" w:rsidR="00CA5D8B" w:rsidRPr="00C057B6" w:rsidRDefault="00CA5D8B" w:rsidP="00CA5D8B">
            <w:pPr>
              <w:spacing w:after="0" w:line="240" w:lineRule="auto"/>
              <w:jc w:val="center"/>
              <w:rPr>
                <w:rFonts w:ascii="Arial" w:eastAsia="Times New Roman" w:hAnsi="Arial" w:cs="Arial"/>
                <w:color w:val="000000"/>
                <w:lang w:eastAsia="cs-CZ"/>
              </w:rPr>
            </w:pPr>
            <w:r w:rsidRPr="00C057B6">
              <w:rPr>
                <w:rFonts w:ascii="Arial" w:eastAsia="Times New Roman" w:hAnsi="Arial" w:cs="Arial"/>
                <w:color w:val="000000"/>
                <w:lang w:eastAsia="cs-CZ"/>
              </w:rPr>
              <w:t>Kapitola</w:t>
            </w:r>
          </w:p>
        </w:tc>
        <w:tc>
          <w:tcPr>
            <w:tcW w:w="1819" w:type="dxa"/>
            <w:shd w:val="clear" w:color="auto" w:fill="auto"/>
            <w:noWrap/>
            <w:hideMark/>
          </w:tcPr>
          <w:p w14:paraId="1DA66967"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Přínos k poznání</w:t>
            </w:r>
          </w:p>
        </w:tc>
      </w:tr>
      <w:tr w:rsidR="00CA5D8B" w:rsidRPr="00C057B6" w14:paraId="3089F5D8" w14:textId="77777777" w:rsidTr="00CA5D8B">
        <w:trPr>
          <w:trHeight w:val="300"/>
        </w:trPr>
        <w:tc>
          <w:tcPr>
            <w:tcW w:w="550" w:type="dxa"/>
            <w:shd w:val="clear" w:color="auto" w:fill="auto"/>
            <w:noWrap/>
            <w:vAlign w:val="bottom"/>
            <w:hideMark/>
          </w:tcPr>
          <w:p w14:paraId="2058378C"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5.3.</w:t>
            </w:r>
          </w:p>
        </w:tc>
        <w:tc>
          <w:tcPr>
            <w:tcW w:w="2989" w:type="dxa"/>
            <w:shd w:val="clear" w:color="auto" w:fill="auto"/>
            <w:noWrap/>
            <w:vAlign w:val="bottom"/>
            <w:hideMark/>
          </w:tcPr>
          <w:p w14:paraId="7357CAC0"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How Students Report Dishonest Behavior in School: Self-Assessment and Anchoring Vignettes</w:t>
            </w:r>
          </w:p>
        </w:tc>
        <w:tc>
          <w:tcPr>
            <w:tcW w:w="2552" w:type="dxa"/>
            <w:shd w:val="clear" w:color="auto" w:fill="auto"/>
            <w:noWrap/>
            <w:vAlign w:val="bottom"/>
            <w:hideMark/>
          </w:tcPr>
          <w:p w14:paraId="0A0A203D"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Voňková, Hana;Bendl, Stanislav;Papajoanu, Ondřej</w:t>
            </w:r>
          </w:p>
        </w:tc>
        <w:tc>
          <w:tcPr>
            <w:tcW w:w="3118" w:type="dxa"/>
            <w:shd w:val="clear" w:color="auto" w:fill="auto"/>
            <w:noWrap/>
            <w:vAlign w:val="bottom"/>
            <w:hideMark/>
          </w:tcPr>
          <w:p w14:paraId="41837AA2"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Univerzita Karlova/Pedagogická fakulta</w:t>
            </w:r>
          </w:p>
        </w:tc>
        <w:tc>
          <w:tcPr>
            <w:tcW w:w="992" w:type="dxa"/>
            <w:shd w:val="clear" w:color="auto" w:fill="auto"/>
            <w:noWrap/>
            <w:vAlign w:val="bottom"/>
            <w:hideMark/>
          </w:tcPr>
          <w:p w14:paraId="6C0474B6" w14:textId="77777777" w:rsidR="00CA5D8B" w:rsidRPr="00C057B6" w:rsidRDefault="00CA5D8B" w:rsidP="00CA5D8B">
            <w:pPr>
              <w:spacing w:after="0" w:line="240" w:lineRule="auto"/>
              <w:jc w:val="center"/>
              <w:rPr>
                <w:rFonts w:ascii="Arial" w:eastAsia="Times New Roman" w:hAnsi="Arial" w:cs="Arial"/>
                <w:color w:val="000000"/>
                <w:lang w:eastAsia="cs-CZ"/>
              </w:rPr>
            </w:pPr>
            <w:r w:rsidRPr="00C057B6">
              <w:rPr>
                <w:rFonts w:ascii="Arial" w:eastAsia="Times New Roman" w:hAnsi="Arial" w:cs="Arial"/>
                <w:color w:val="000000"/>
                <w:lang w:eastAsia="cs-CZ"/>
              </w:rPr>
              <w:t>Článek</w:t>
            </w:r>
          </w:p>
        </w:tc>
        <w:tc>
          <w:tcPr>
            <w:tcW w:w="1819" w:type="dxa"/>
            <w:shd w:val="clear" w:color="auto" w:fill="auto"/>
            <w:noWrap/>
            <w:hideMark/>
          </w:tcPr>
          <w:p w14:paraId="01FE5E7C" w14:textId="77777777" w:rsidR="00CA5D8B" w:rsidRPr="00C057B6" w:rsidRDefault="00CA5D8B" w:rsidP="00CA5D8B">
            <w:pPr>
              <w:spacing w:after="0" w:line="240" w:lineRule="auto"/>
              <w:rPr>
                <w:rFonts w:ascii="Arial" w:eastAsia="Times New Roman" w:hAnsi="Arial" w:cs="Arial"/>
                <w:color w:val="000000"/>
                <w:lang w:eastAsia="cs-CZ"/>
              </w:rPr>
            </w:pPr>
          </w:p>
          <w:p w14:paraId="167B71F9" w14:textId="77777777" w:rsidR="00CA5D8B" w:rsidRPr="00C057B6" w:rsidRDefault="00CA5D8B" w:rsidP="00CA5D8B">
            <w:pPr>
              <w:spacing w:after="0" w:line="240" w:lineRule="auto"/>
              <w:rPr>
                <w:rFonts w:ascii="Arial" w:eastAsia="Times New Roman" w:hAnsi="Arial" w:cs="Arial"/>
                <w:color w:val="000000"/>
                <w:lang w:eastAsia="cs-CZ"/>
              </w:rPr>
            </w:pPr>
          </w:p>
          <w:p w14:paraId="18D01668" w14:textId="77777777" w:rsidR="00CA5D8B" w:rsidRPr="00C057B6" w:rsidRDefault="00CA5D8B" w:rsidP="00CA5D8B">
            <w:pPr>
              <w:spacing w:after="0" w:line="240" w:lineRule="auto"/>
              <w:rPr>
                <w:rFonts w:ascii="Arial" w:eastAsia="Times New Roman" w:hAnsi="Arial" w:cs="Arial"/>
                <w:color w:val="000000"/>
                <w:lang w:eastAsia="cs-CZ"/>
              </w:rPr>
            </w:pPr>
          </w:p>
          <w:p w14:paraId="01F86010"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Přínos k poznání</w:t>
            </w:r>
          </w:p>
        </w:tc>
      </w:tr>
      <w:tr w:rsidR="00CA5D8B" w:rsidRPr="00C057B6" w14:paraId="2F935A63" w14:textId="77777777" w:rsidTr="00CA5D8B">
        <w:trPr>
          <w:trHeight w:val="300"/>
        </w:trPr>
        <w:tc>
          <w:tcPr>
            <w:tcW w:w="550" w:type="dxa"/>
            <w:shd w:val="clear" w:color="auto" w:fill="auto"/>
            <w:noWrap/>
            <w:vAlign w:val="bottom"/>
            <w:hideMark/>
          </w:tcPr>
          <w:p w14:paraId="37A92382"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5.4.</w:t>
            </w:r>
          </w:p>
        </w:tc>
        <w:tc>
          <w:tcPr>
            <w:tcW w:w="2989" w:type="dxa"/>
            <w:shd w:val="clear" w:color="auto" w:fill="auto"/>
            <w:noWrap/>
            <w:vAlign w:val="bottom"/>
            <w:hideMark/>
          </w:tcPr>
          <w:p w14:paraId="6EC3FA01"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Football Fans, Activism and Social Change</w:t>
            </w:r>
          </w:p>
        </w:tc>
        <w:tc>
          <w:tcPr>
            <w:tcW w:w="2552" w:type="dxa"/>
            <w:shd w:val="clear" w:color="auto" w:fill="auto"/>
            <w:noWrap/>
            <w:vAlign w:val="bottom"/>
            <w:hideMark/>
          </w:tcPr>
          <w:p w14:paraId="6F5AF903"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Numerato, Dino</w:t>
            </w:r>
          </w:p>
        </w:tc>
        <w:tc>
          <w:tcPr>
            <w:tcW w:w="3118" w:type="dxa"/>
            <w:shd w:val="clear" w:color="auto" w:fill="auto"/>
            <w:noWrap/>
            <w:vAlign w:val="bottom"/>
            <w:hideMark/>
          </w:tcPr>
          <w:p w14:paraId="100FE3A6"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Univerzita Karlova/Fakulta sociálních věd</w:t>
            </w:r>
          </w:p>
        </w:tc>
        <w:tc>
          <w:tcPr>
            <w:tcW w:w="992" w:type="dxa"/>
            <w:shd w:val="clear" w:color="auto" w:fill="auto"/>
            <w:noWrap/>
            <w:vAlign w:val="bottom"/>
            <w:hideMark/>
          </w:tcPr>
          <w:p w14:paraId="4C9D1F03" w14:textId="77777777" w:rsidR="00CA5D8B" w:rsidRPr="00C057B6" w:rsidRDefault="00CA5D8B" w:rsidP="00CA5D8B">
            <w:pPr>
              <w:spacing w:after="0" w:line="240" w:lineRule="auto"/>
              <w:jc w:val="center"/>
              <w:rPr>
                <w:rFonts w:ascii="Arial" w:eastAsia="Times New Roman" w:hAnsi="Arial" w:cs="Arial"/>
                <w:color w:val="000000"/>
                <w:lang w:eastAsia="cs-CZ"/>
              </w:rPr>
            </w:pPr>
            <w:r w:rsidRPr="00C057B6">
              <w:rPr>
                <w:rFonts w:ascii="Arial" w:eastAsia="Times New Roman" w:hAnsi="Arial" w:cs="Arial"/>
                <w:color w:val="000000"/>
                <w:lang w:eastAsia="cs-CZ"/>
              </w:rPr>
              <w:t>Kniha</w:t>
            </w:r>
          </w:p>
        </w:tc>
        <w:tc>
          <w:tcPr>
            <w:tcW w:w="1819" w:type="dxa"/>
            <w:shd w:val="clear" w:color="auto" w:fill="auto"/>
            <w:noWrap/>
            <w:vAlign w:val="bottom"/>
            <w:hideMark/>
          </w:tcPr>
          <w:p w14:paraId="42BB8969"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Přínos k poznání</w:t>
            </w:r>
          </w:p>
        </w:tc>
      </w:tr>
      <w:tr w:rsidR="00CA5D8B" w:rsidRPr="00C057B6" w14:paraId="3B9D00B2" w14:textId="77777777" w:rsidTr="00CA5D8B">
        <w:trPr>
          <w:trHeight w:val="300"/>
        </w:trPr>
        <w:tc>
          <w:tcPr>
            <w:tcW w:w="550" w:type="dxa"/>
            <w:shd w:val="clear" w:color="auto" w:fill="auto"/>
            <w:noWrap/>
            <w:vAlign w:val="bottom"/>
            <w:hideMark/>
          </w:tcPr>
          <w:p w14:paraId="42FF4841"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5.4.</w:t>
            </w:r>
          </w:p>
        </w:tc>
        <w:tc>
          <w:tcPr>
            <w:tcW w:w="2989" w:type="dxa"/>
            <w:shd w:val="clear" w:color="auto" w:fill="auto"/>
            <w:noWrap/>
            <w:vAlign w:val="bottom"/>
            <w:hideMark/>
          </w:tcPr>
          <w:p w14:paraId="5683B99B"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Research for AGRI Committee - Young farmers - Policy implementation after the 2013 CAP reform</w:t>
            </w:r>
          </w:p>
        </w:tc>
        <w:tc>
          <w:tcPr>
            <w:tcW w:w="2552" w:type="dxa"/>
            <w:shd w:val="clear" w:color="auto" w:fill="auto"/>
            <w:noWrap/>
            <w:vAlign w:val="bottom"/>
            <w:hideMark/>
          </w:tcPr>
          <w:p w14:paraId="167460E7"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Zagata, Lukáš;Hrabák, Jiří;Lošťák, Michal;Bavorová, Miroslava;Ratinger, Tomáš;Sutherland, Lee-Ann;McKee, Annie</w:t>
            </w:r>
          </w:p>
        </w:tc>
        <w:tc>
          <w:tcPr>
            <w:tcW w:w="3118" w:type="dxa"/>
            <w:shd w:val="clear" w:color="auto" w:fill="auto"/>
            <w:noWrap/>
            <w:vAlign w:val="bottom"/>
            <w:hideMark/>
          </w:tcPr>
          <w:p w14:paraId="09B63F7C"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Česká zemědělská univerzita v Praze/Provozně ekonomická fakulta</w:t>
            </w:r>
          </w:p>
        </w:tc>
        <w:tc>
          <w:tcPr>
            <w:tcW w:w="992" w:type="dxa"/>
            <w:shd w:val="clear" w:color="auto" w:fill="auto"/>
            <w:noWrap/>
            <w:vAlign w:val="bottom"/>
            <w:hideMark/>
          </w:tcPr>
          <w:p w14:paraId="2FAE290D" w14:textId="77777777" w:rsidR="00CA5D8B" w:rsidRPr="00C057B6" w:rsidRDefault="00CA5D8B" w:rsidP="00CA5D8B">
            <w:pPr>
              <w:spacing w:after="0" w:line="240" w:lineRule="auto"/>
              <w:jc w:val="center"/>
              <w:rPr>
                <w:rFonts w:ascii="Arial" w:eastAsia="Times New Roman" w:hAnsi="Arial" w:cs="Arial"/>
                <w:color w:val="000000"/>
                <w:lang w:eastAsia="cs-CZ"/>
              </w:rPr>
            </w:pPr>
            <w:r w:rsidRPr="00C057B6">
              <w:rPr>
                <w:rFonts w:ascii="Arial" w:eastAsia="Times New Roman" w:hAnsi="Arial" w:cs="Arial"/>
                <w:color w:val="000000"/>
                <w:lang w:eastAsia="cs-CZ"/>
              </w:rPr>
              <w:t>Zpráva</w:t>
            </w:r>
          </w:p>
        </w:tc>
        <w:tc>
          <w:tcPr>
            <w:tcW w:w="1819" w:type="dxa"/>
            <w:shd w:val="clear" w:color="auto" w:fill="auto"/>
            <w:noWrap/>
            <w:vAlign w:val="bottom"/>
            <w:hideMark/>
          </w:tcPr>
          <w:p w14:paraId="4769A99F"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Společenská relevance</w:t>
            </w:r>
          </w:p>
        </w:tc>
      </w:tr>
      <w:tr w:rsidR="00CA5D8B" w:rsidRPr="00C057B6" w14:paraId="19EDC96B" w14:textId="77777777" w:rsidTr="00CA5D8B">
        <w:trPr>
          <w:trHeight w:val="300"/>
        </w:trPr>
        <w:tc>
          <w:tcPr>
            <w:tcW w:w="550" w:type="dxa"/>
            <w:shd w:val="clear" w:color="auto" w:fill="auto"/>
            <w:noWrap/>
            <w:vAlign w:val="bottom"/>
            <w:hideMark/>
          </w:tcPr>
          <w:p w14:paraId="11306E87"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5.5.</w:t>
            </w:r>
          </w:p>
        </w:tc>
        <w:tc>
          <w:tcPr>
            <w:tcW w:w="2989" w:type="dxa"/>
            <w:shd w:val="clear" w:color="auto" w:fill="auto"/>
            <w:noWrap/>
            <w:vAlign w:val="bottom"/>
            <w:hideMark/>
          </w:tcPr>
          <w:p w14:paraId="0A0CFDEC"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The Strasbourg Court Meets Abusive Constitutionalism: Baka v. Hungary and the Rule of Law</w:t>
            </w:r>
          </w:p>
        </w:tc>
        <w:tc>
          <w:tcPr>
            <w:tcW w:w="2552" w:type="dxa"/>
            <w:shd w:val="clear" w:color="auto" w:fill="auto"/>
            <w:noWrap/>
            <w:vAlign w:val="bottom"/>
            <w:hideMark/>
          </w:tcPr>
          <w:p w14:paraId="2F760826"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Kosař David, Šipulová Katarína</w:t>
            </w:r>
          </w:p>
        </w:tc>
        <w:tc>
          <w:tcPr>
            <w:tcW w:w="3118" w:type="dxa"/>
            <w:shd w:val="clear" w:color="auto" w:fill="auto"/>
            <w:noWrap/>
            <w:vAlign w:val="bottom"/>
            <w:hideMark/>
          </w:tcPr>
          <w:p w14:paraId="5E23633C"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PF MU</w:t>
            </w:r>
          </w:p>
        </w:tc>
        <w:tc>
          <w:tcPr>
            <w:tcW w:w="992" w:type="dxa"/>
            <w:shd w:val="clear" w:color="auto" w:fill="auto"/>
            <w:noWrap/>
            <w:vAlign w:val="bottom"/>
            <w:hideMark/>
          </w:tcPr>
          <w:p w14:paraId="0EA2CEF0" w14:textId="77777777" w:rsidR="00CA5D8B" w:rsidRPr="00C057B6" w:rsidRDefault="00CA5D8B" w:rsidP="00CA5D8B">
            <w:pPr>
              <w:spacing w:after="0" w:line="240" w:lineRule="auto"/>
              <w:jc w:val="center"/>
              <w:rPr>
                <w:rFonts w:ascii="Arial" w:eastAsia="Times New Roman" w:hAnsi="Arial" w:cs="Arial"/>
                <w:color w:val="000000"/>
                <w:lang w:eastAsia="cs-CZ"/>
              </w:rPr>
            </w:pPr>
            <w:r w:rsidRPr="00C057B6">
              <w:rPr>
                <w:rFonts w:ascii="Arial" w:eastAsia="Times New Roman" w:hAnsi="Arial" w:cs="Arial"/>
                <w:color w:val="000000"/>
                <w:lang w:eastAsia="cs-CZ"/>
              </w:rPr>
              <w:t>Článek</w:t>
            </w:r>
          </w:p>
        </w:tc>
        <w:tc>
          <w:tcPr>
            <w:tcW w:w="1819" w:type="dxa"/>
            <w:shd w:val="clear" w:color="auto" w:fill="auto"/>
            <w:noWrap/>
            <w:vAlign w:val="bottom"/>
            <w:hideMark/>
          </w:tcPr>
          <w:p w14:paraId="16E9945F"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Přínos k poznání</w:t>
            </w:r>
          </w:p>
        </w:tc>
      </w:tr>
      <w:tr w:rsidR="00CA5D8B" w:rsidRPr="00C057B6" w14:paraId="22449E0F" w14:textId="77777777" w:rsidTr="00CA5D8B">
        <w:trPr>
          <w:trHeight w:val="300"/>
        </w:trPr>
        <w:tc>
          <w:tcPr>
            <w:tcW w:w="550" w:type="dxa"/>
            <w:shd w:val="clear" w:color="auto" w:fill="auto"/>
            <w:noWrap/>
            <w:vAlign w:val="bottom"/>
            <w:hideMark/>
          </w:tcPr>
          <w:p w14:paraId="5254DD98"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5.6.</w:t>
            </w:r>
          </w:p>
        </w:tc>
        <w:tc>
          <w:tcPr>
            <w:tcW w:w="2989" w:type="dxa"/>
            <w:shd w:val="clear" w:color="auto" w:fill="auto"/>
            <w:noWrap/>
            <w:vAlign w:val="bottom"/>
            <w:hideMark/>
          </w:tcPr>
          <w:p w14:paraId="1CC5F440"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The Vory: Russia's Super Mafia</w:t>
            </w:r>
          </w:p>
        </w:tc>
        <w:tc>
          <w:tcPr>
            <w:tcW w:w="2552" w:type="dxa"/>
            <w:shd w:val="clear" w:color="auto" w:fill="auto"/>
            <w:noWrap/>
            <w:vAlign w:val="bottom"/>
            <w:hideMark/>
          </w:tcPr>
          <w:p w14:paraId="71380188"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Galeotti, Mark</w:t>
            </w:r>
          </w:p>
        </w:tc>
        <w:tc>
          <w:tcPr>
            <w:tcW w:w="3118" w:type="dxa"/>
            <w:shd w:val="clear" w:color="auto" w:fill="auto"/>
            <w:noWrap/>
            <w:vAlign w:val="bottom"/>
            <w:hideMark/>
          </w:tcPr>
          <w:p w14:paraId="0C9FA6C9" w14:textId="77777777" w:rsidR="00CA5D8B" w:rsidRPr="00C057B6" w:rsidRDefault="006A2FC4" w:rsidP="00CA5D8B">
            <w:pPr>
              <w:spacing w:after="0" w:line="240" w:lineRule="auto"/>
              <w:rPr>
                <w:rFonts w:ascii="Arial" w:eastAsia="Times New Roman" w:hAnsi="Arial" w:cs="Arial"/>
                <w:color w:val="000000"/>
                <w:lang w:eastAsia="cs-CZ"/>
              </w:rPr>
            </w:pPr>
            <w:hyperlink r:id="rId12" w:history="1">
              <w:r w:rsidR="00CA5D8B" w:rsidRPr="00C057B6">
                <w:rPr>
                  <w:rFonts w:ascii="Arial" w:eastAsia="Times New Roman" w:hAnsi="Arial" w:cs="Arial"/>
                  <w:color w:val="000000"/>
                  <w:lang w:eastAsia="cs-CZ"/>
                </w:rPr>
                <w:t>Ústav mezinárodních vztahů, v.v.i.</w:t>
              </w:r>
            </w:hyperlink>
          </w:p>
        </w:tc>
        <w:tc>
          <w:tcPr>
            <w:tcW w:w="992" w:type="dxa"/>
            <w:shd w:val="clear" w:color="auto" w:fill="auto"/>
            <w:noWrap/>
            <w:vAlign w:val="bottom"/>
            <w:hideMark/>
          </w:tcPr>
          <w:p w14:paraId="63CE218B" w14:textId="77777777" w:rsidR="00CA5D8B" w:rsidRPr="00C057B6" w:rsidRDefault="00CA5D8B" w:rsidP="00CA5D8B">
            <w:pPr>
              <w:spacing w:after="0" w:line="240" w:lineRule="auto"/>
              <w:jc w:val="center"/>
              <w:rPr>
                <w:rFonts w:ascii="Arial" w:eastAsia="Times New Roman" w:hAnsi="Arial" w:cs="Arial"/>
                <w:color w:val="000000"/>
                <w:lang w:eastAsia="cs-CZ"/>
              </w:rPr>
            </w:pPr>
            <w:r w:rsidRPr="00C057B6">
              <w:rPr>
                <w:rFonts w:ascii="Arial" w:eastAsia="Times New Roman" w:hAnsi="Arial" w:cs="Arial"/>
                <w:color w:val="000000"/>
                <w:lang w:eastAsia="cs-CZ"/>
              </w:rPr>
              <w:t>Kniha</w:t>
            </w:r>
          </w:p>
        </w:tc>
        <w:tc>
          <w:tcPr>
            <w:tcW w:w="1819" w:type="dxa"/>
            <w:shd w:val="clear" w:color="auto" w:fill="auto"/>
            <w:noWrap/>
            <w:vAlign w:val="bottom"/>
            <w:hideMark/>
          </w:tcPr>
          <w:p w14:paraId="75E9B7FF"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Společenská relevance</w:t>
            </w:r>
          </w:p>
        </w:tc>
      </w:tr>
      <w:tr w:rsidR="00CA5D8B" w:rsidRPr="00C057B6" w14:paraId="1F2F53F4" w14:textId="77777777" w:rsidTr="00CA5D8B">
        <w:trPr>
          <w:trHeight w:val="300"/>
        </w:trPr>
        <w:tc>
          <w:tcPr>
            <w:tcW w:w="550" w:type="dxa"/>
            <w:shd w:val="clear" w:color="auto" w:fill="auto"/>
            <w:noWrap/>
            <w:vAlign w:val="bottom"/>
            <w:hideMark/>
          </w:tcPr>
          <w:p w14:paraId="3D7078FF"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5.6.</w:t>
            </w:r>
          </w:p>
        </w:tc>
        <w:tc>
          <w:tcPr>
            <w:tcW w:w="2989" w:type="dxa"/>
            <w:shd w:val="clear" w:color="auto" w:fill="auto"/>
            <w:noWrap/>
            <w:vAlign w:val="bottom"/>
            <w:hideMark/>
          </w:tcPr>
          <w:p w14:paraId="1EDE966C"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Institutional determinants of invalid voting in post-communist Europe and Latin America</w:t>
            </w:r>
          </w:p>
        </w:tc>
        <w:tc>
          <w:tcPr>
            <w:tcW w:w="2552" w:type="dxa"/>
            <w:shd w:val="clear" w:color="auto" w:fill="auto"/>
            <w:noWrap/>
            <w:vAlign w:val="bottom"/>
            <w:hideMark/>
          </w:tcPr>
          <w:p w14:paraId="5C3D6129"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Kouba, Karel;Lysek, Jakub</w:t>
            </w:r>
          </w:p>
        </w:tc>
        <w:tc>
          <w:tcPr>
            <w:tcW w:w="3118" w:type="dxa"/>
            <w:shd w:val="clear" w:color="auto" w:fill="auto"/>
            <w:noWrap/>
            <w:vAlign w:val="bottom"/>
            <w:hideMark/>
          </w:tcPr>
          <w:p w14:paraId="39C53704" w14:textId="77777777" w:rsidR="00CA5D8B" w:rsidRPr="00C057B6" w:rsidRDefault="006A2FC4" w:rsidP="00CA5D8B">
            <w:pPr>
              <w:spacing w:after="0" w:line="240" w:lineRule="auto"/>
              <w:rPr>
                <w:rFonts w:ascii="Arial" w:eastAsia="Times New Roman" w:hAnsi="Arial" w:cs="Arial"/>
                <w:color w:val="000000"/>
                <w:lang w:eastAsia="cs-CZ"/>
              </w:rPr>
            </w:pPr>
            <w:hyperlink r:id="rId13" w:history="1">
              <w:r w:rsidR="00CA5D8B" w:rsidRPr="00C057B6">
                <w:rPr>
                  <w:rFonts w:ascii="Arial" w:eastAsia="Times New Roman" w:hAnsi="Arial" w:cs="Arial"/>
                  <w:color w:val="000000"/>
                  <w:lang w:eastAsia="cs-CZ"/>
                </w:rPr>
                <w:t>Univerzita Palackého v Olomouci/Filozofická fakulta</w:t>
              </w:r>
            </w:hyperlink>
          </w:p>
        </w:tc>
        <w:tc>
          <w:tcPr>
            <w:tcW w:w="992" w:type="dxa"/>
            <w:shd w:val="clear" w:color="auto" w:fill="auto"/>
            <w:noWrap/>
            <w:vAlign w:val="bottom"/>
            <w:hideMark/>
          </w:tcPr>
          <w:p w14:paraId="5DDC551D" w14:textId="77777777" w:rsidR="00CA5D8B" w:rsidRPr="00C057B6" w:rsidRDefault="00CA5D8B" w:rsidP="00CA5D8B">
            <w:pPr>
              <w:spacing w:after="0" w:line="240" w:lineRule="auto"/>
              <w:jc w:val="center"/>
              <w:rPr>
                <w:rFonts w:ascii="Arial" w:eastAsia="Times New Roman" w:hAnsi="Arial" w:cs="Arial"/>
                <w:color w:val="000000"/>
                <w:lang w:eastAsia="cs-CZ"/>
              </w:rPr>
            </w:pPr>
            <w:r w:rsidRPr="00C057B6">
              <w:rPr>
                <w:rFonts w:ascii="Arial" w:eastAsia="Times New Roman" w:hAnsi="Arial" w:cs="Arial"/>
                <w:color w:val="000000"/>
                <w:lang w:eastAsia="cs-CZ"/>
              </w:rPr>
              <w:t>Článek</w:t>
            </w:r>
          </w:p>
        </w:tc>
        <w:tc>
          <w:tcPr>
            <w:tcW w:w="1819" w:type="dxa"/>
            <w:shd w:val="clear" w:color="auto" w:fill="auto"/>
            <w:noWrap/>
            <w:hideMark/>
          </w:tcPr>
          <w:p w14:paraId="68BA305F" w14:textId="77777777" w:rsidR="00CA5D8B" w:rsidRPr="00C057B6" w:rsidRDefault="00CA5D8B" w:rsidP="00CA5D8B">
            <w:pPr>
              <w:spacing w:after="0" w:line="240" w:lineRule="auto"/>
              <w:rPr>
                <w:rFonts w:ascii="Arial" w:eastAsia="Times New Roman" w:hAnsi="Arial" w:cs="Arial"/>
                <w:color w:val="000000"/>
                <w:lang w:eastAsia="cs-CZ"/>
              </w:rPr>
            </w:pPr>
          </w:p>
          <w:p w14:paraId="49DE897F" w14:textId="77777777" w:rsidR="00CA5D8B" w:rsidRPr="00C057B6" w:rsidRDefault="00CA5D8B" w:rsidP="00CA5D8B">
            <w:pPr>
              <w:spacing w:after="0" w:line="240" w:lineRule="auto"/>
              <w:rPr>
                <w:rFonts w:ascii="Arial" w:eastAsia="Times New Roman" w:hAnsi="Arial" w:cs="Arial"/>
                <w:color w:val="000000"/>
                <w:lang w:eastAsia="cs-CZ"/>
              </w:rPr>
            </w:pPr>
          </w:p>
          <w:p w14:paraId="794DB6EF" w14:textId="77777777" w:rsidR="00CA5D8B" w:rsidRPr="00C057B6" w:rsidRDefault="00CA5D8B" w:rsidP="00CA5D8B">
            <w:pPr>
              <w:spacing w:after="0" w:line="240" w:lineRule="auto"/>
              <w:rPr>
                <w:rFonts w:ascii="Arial" w:eastAsia="Times New Roman" w:hAnsi="Arial" w:cs="Arial"/>
                <w:color w:val="000000"/>
                <w:lang w:eastAsia="cs-CZ"/>
              </w:rPr>
            </w:pPr>
          </w:p>
          <w:p w14:paraId="356FDAF2"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Přínos k poznání</w:t>
            </w:r>
          </w:p>
        </w:tc>
      </w:tr>
      <w:tr w:rsidR="00CA5D8B" w:rsidRPr="00C057B6" w14:paraId="3DFD0961" w14:textId="77777777" w:rsidTr="00CA5D8B">
        <w:trPr>
          <w:trHeight w:val="300"/>
        </w:trPr>
        <w:tc>
          <w:tcPr>
            <w:tcW w:w="550" w:type="dxa"/>
            <w:shd w:val="clear" w:color="auto" w:fill="auto"/>
            <w:noWrap/>
            <w:vAlign w:val="bottom"/>
            <w:hideMark/>
          </w:tcPr>
          <w:p w14:paraId="75B4698A"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5.6.</w:t>
            </w:r>
          </w:p>
        </w:tc>
        <w:tc>
          <w:tcPr>
            <w:tcW w:w="2989" w:type="dxa"/>
            <w:shd w:val="clear" w:color="auto" w:fill="auto"/>
            <w:noWrap/>
            <w:vAlign w:val="bottom"/>
            <w:hideMark/>
          </w:tcPr>
          <w:p w14:paraId="2541D24A"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The Military and Liberal Society: Societal-Military Relations in Western Europe</w:t>
            </w:r>
          </w:p>
        </w:tc>
        <w:tc>
          <w:tcPr>
            <w:tcW w:w="2552" w:type="dxa"/>
            <w:shd w:val="clear" w:color="auto" w:fill="auto"/>
            <w:noWrap/>
            <w:vAlign w:val="bottom"/>
            <w:hideMark/>
          </w:tcPr>
          <w:p w14:paraId="692D1DCC"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Kučera, Tomáš</w:t>
            </w:r>
          </w:p>
        </w:tc>
        <w:tc>
          <w:tcPr>
            <w:tcW w:w="3118" w:type="dxa"/>
            <w:shd w:val="clear" w:color="auto" w:fill="auto"/>
            <w:noWrap/>
            <w:vAlign w:val="bottom"/>
            <w:hideMark/>
          </w:tcPr>
          <w:p w14:paraId="02DD0ECD" w14:textId="77777777" w:rsidR="00CA5D8B" w:rsidRPr="00C057B6" w:rsidRDefault="006A2FC4" w:rsidP="00CA5D8B">
            <w:pPr>
              <w:spacing w:after="0" w:line="240" w:lineRule="auto"/>
              <w:rPr>
                <w:rFonts w:ascii="Arial" w:eastAsia="Times New Roman" w:hAnsi="Arial" w:cs="Arial"/>
                <w:color w:val="000000"/>
                <w:lang w:eastAsia="cs-CZ"/>
              </w:rPr>
            </w:pPr>
            <w:hyperlink r:id="rId14" w:history="1">
              <w:r w:rsidR="00CA5D8B" w:rsidRPr="00C057B6">
                <w:rPr>
                  <w:rFonts w:ascii="Arial" w:eastAsia="Times New Roman" w:hAnsi="Arial" w:cs="Arial"/>
                  <w:color w:val="000000"/>
                  <w:lang w:eastAsia="cs-CZ"/>
                </w:rPr>
                <w:t>Univerzita Karlova/Fakulta sociálních věd</w:t>
              </w:r>
            </w:hyperlink>
          </w:p>
        </w:tc>
        <w:tc>
          <w:tcPr>
            <w:tcW w:w="992" w:type="dxa"/>
            <w:shd w:val="clear" w:color="auto" w:fill="auto"/>
            <w:noWrap/>
            <w:vAlign w:val="bottom"/>
            <w:hideMark/>
          </w:tcPr>
          <w:p w14:paraId="758D9354" w14:textId="77777777" w:rsidR="00CA5D8B" w:rsidRPr="00C057B6" w:rsidRDefault="00CA5D8B" w:rsidP="00CA5D8B">
            <w:pPr>
              <w:spacing w:after="0" w:line="240" w:lineRule="auto"/>
              <w:jc w:val="center"/>
              <w:rPr>
                <w:rFonts w:ascii="Arial" w:eastAsia="Times New Roman" w:hAnsi="Arial" w:cs="Arial"/>
                <w:color w:val="000000"/>
                <w:lang w:eastAsia="cs-CZ"/>
              </w:rPr>
            </w:pPr>
            <w:r w:rsidRPr="00C057B6">
              <w:rPr>
                <w:rFonts w:ascii="Arial" w:eastAsia="Times New Roman" w:hAnsi="Arial" w:cs="Arial"/>
                <w:color w:val="000000"/>
                <w:lang w:eastAsia="cs-CZ"/>
              </w:rPr>
              <w:t>Kniha</w:t>
            </w:r>
          </w:p>
        </w:tc>
        <w:tc>
          <w:tcPr>
            <w:tcW w:w="1819" w:type="dxa"/>
            <w:shd w:val="clear" w:color="auto" w:fill="auto"/>
            <w:noWrap/>
            <w:vAlign w:val="bottom"/>
            <w:hideMark/>
          </w:tcPr>
          <w:p w14:paraId="5359FAF2"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Přínos k poznání</w:t>
            </w:r>
          </w:p>
        </w:tc>
      </w:tr>
      <w:tr w:rsidR="00CA5D8B" w:rsidRPr="00C057B6" w14:paraId="1FA82882" w14:textId="77777777" w:rsidTr="00CA5D8B">
        <w:trPr>
          <w:trHeight w:val="300"/>
        </w:trPr>
        <w:tc>
          <w:tcPr>
            <w:tcW w:w="550" w:type="dxa"/>
            <w:shd w:val="clear" w:color="auto" w:fill="auto"/>
            <w:noWrap/>
            <w:vAlign w:val="bottom"/>
            <w:hideMark/>
          </w:tcPr>
          <w:p w14:paraId="2F5DA48F"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5.6.</w:t>
            </w:r>
          </w:p>
        </w:tc>
        <w:tc>
          <w:tcPr>
            <w:tcW w:w="2989" w:type="dxa"/>
            <w:shd w:val="clear" w:color="auto" w:fill="auto"/>
            <w:noWrap/>
            <w:vAlign w:val="bottom"/>
            <w:hideMark/>
          </w:tcPr>
          <w:p w14:paraId="367EBF04"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Party nomination strategies in flexible-list systems : Do preference votes matter?</w:t>
            </w:r>
          </w:p>
        </w:tc>
        <w:tc>
          <w:tcPr>
            <w:tcW w:w="2552" w:type="dxa"/>
            <w:shd w:val="clear" w:color="auto" w:fill="auto"/>
            <w:noWrap/>
            <w:vAlign w:val="bottom"/>
            <w:hideMark/>
          </w:tcPr>
          <w:p w14:paraId="3772D7B7"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André, Audrey;Depauw, Sam;Shugart, Matthew S.;Chytilek, Roman</w:t>
            </w:r>
          </w:p>
        </w:tc>
        <w:tc>
          <w:tcPr>
            <w:tcW w:w="3118" w:type="dxa"/>
            <w:shd w:val="clear" w:color="auto" w:fill="auto"/>
            <w:noWrap/>
            <w:vAlign w:val="bottom"/>
            <w:hideMark/>
          </w:tcPr>
          <w:p w14:paraId="4BCA6A76" w14:textId="77777777" w:rsidR="00CA5D8B" w:rsidRPr="00C057B6" w:rsidRDefault="006A2FC4" w:rsidP="00CA5D8B">
            <w:pPr>
              <w:spacing w:after="0" w:line="240" w:lineRule="auto"/>
              <w:rPr>
                <w:rFonts w:ascii="Arial" w:eastAsia="Times New Roman" w:hAnsi="Arial" w:cs="Arial"/>
                <w:color w:val="000000"/>
                <w:lang w:eastAsia="cs-CZ"/>
              </w:rPr>
            </w:pPr>
            <w:hyperlink r:id="rId15" w:history="1">
              <w:r w:rsidR="00CA5D8B" w:rsidRPr="00C057B6">
                <w:rPr>
                  <w:rFonts w:ascii="Arial" w:eastAsia="Times New Roman" w:hAnsi="Arial" w:cs="Arial"/>
                  <w:color w:val="000000"/>
                  <w:lang w:eastAsia="cs-CZ"/>
                </w:rPr>
                <w:t>Masarykova univerzita/Fakulta sociálních studií</w:t>
              </w:r>
            </w:hyperlink>
          </w:p>
        </w:tc>
        <w:tc>
          <w:tcPr>
            <w:tcW w:w="992" w:type="dxa"/>
            <w:shd w:val="clear" w:color="auto" w:fill="auto"/>
            <w:noWrap/>
            <w:vAlign w:val="bottom"/>
            <w:hideMark/>
          </w:tcPr>
          <w:p w14:paraId="2F6308AF" w14:textId="77777777" w:rsidR="00CA5D8B" w:rsidRPr="00C057B6" w:rsidRDefault="00CA5D8B" w:rsidP="00CA5D8B">
            <w:pPr>
              <w:spacing w:after="0" w:line="240" w:lineRule="auto"/>
              <w:jc w:val="center"/>
              <w:rPr>
                <w:rFonts w:ascii="Arial" w:eastAsia="Times New Roman" w:hAnsi="Arial" w:cs="Arial"/>
                <w:color w:val="000000"/>
                <w:lang w:eastAsia="cs-CZ"/>
              </w:rPr>
            </w:pPr>
            <w:r w:rsidRPr="00C057B6">
              <w:rPr>
                <w:rFonts w:ascii="Arial" w:eastAsia="Times New Roman" w:hAnsi="Arial" w:cs="Arial"/>
                <w:color w:val="000000"/>
                <w:lang w:eastAsia="cs-CZ"/>
              </w:rPr>
              <w:t>Článek</w:t>
            </w:r>
          </w:p>
        </w:tc>
        <w:tc>
          <w:tcPr>
            <w:tcW w:w="1819" w:type="dxa"/>
            <w:shd w:val="clear" w:color="auto" w:fill="auto"/>
            <w:noWrap/>
            <w:hideMark/>
          </w:tcPr>
          <w:p w14:paraId="0550F6EC" w14:textId="77777777" w:rsidR="00CA5D8B" w:rsidRPr="00C057B6" w:rsidRDefault="00CA5D8B" w:rsidP="00CA5D8B">
            <w:pPr>
              <w:spacing w:after="0" w:line="240" w:lineRule="auto"/>
              <w:rPr>
                <w:rFonts w:ascii="Arial" w:eastAsia="Times New Roman" w:hAnsi="Arial" w:cs="Arial"/>
                <w:color w:val="000000"/>
                <w:lang w:eastAsia="cs-CZ"/>
              </w:rPr>
            </w:pPr>
          </w:p>
          <w:p w14:paraId="0E1D6AF1" w14:textId="77777777" w:rsidR="00CA5D8B" w:rsidRPr="00C057B6" w:rsidRDefault="00CA5D8B" w:rsidP="00CA5D8B">
            <w:pPr>
              <w:spacing w:after="0" w:line="240" w:lineRule="auto"/>
              <w:rPr>
                <w:rFonts w:ascii="Arial" w:eastAsia="Times New Roman" w:hAnsi="Arial" w:cs="Arial"/>
                <w:color w:val="000000"/>
                <w:lang w:eastAsia="cs-CZ"/>
              </w:rPr>
            </w:pPr>
          </w:p>
          <w:p w14:paraId="199C63AA"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Přínos k poznání</w:t>
            </w:r>
          </w:p>
        </w:tc>
      </w:tr>
      <w:tr w:rsidR="00CA5D8B" w:rsidRPr="00C057B6" w14:paraId="7EE758B5" w14:textId="77777777" w:rsidTr="00CA5D8B">
        <w:trPr>
          <w:trHeight w:val="300"/>
        </w:trPr>
        <w:tc>
          <w:tcPr>
            <w:tcW w:w="550" w:type="dxa"/>
            <w:shd w:val="clear" w:color="auto" w:fill="auto"/>
            <w:noWrap/>
            <w:vAlign w:val="bottom"/>
            <w:hideMark/>
          </w:tcPr>
          <w:p w14:paraId="1126BC1A"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5.7.</w:t>
            </w:r>
          </w:p>
        </w:tc>
        <w:tc>
          <w:tcPr>
            <w:tcW w:w="2989" w:type="dxa"/>
            <w:shd w:val="clear" w:color="auto" w:fill="auto"/>
            <w:noWrap/>
            <w:vAlign w:val="bottom"/>
            <w:hideMark/>
          </w:tcPr>
          <w:p w14:paraId="160ADFC1"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Spatial targeting, synergies and scale: exploring the criteria of smart practices for siting renewable energy projects</w:t>
            </w:r>
          </w:p>
        </w:tc>
        <w:tc>
          <w:tcPr>
            <w:tcW w:w="2552" w:type="dxa"/>
            <w:shd w:val="clear" w:color="auto" w:fill="auto"/>
            <w:noWrap/>
            <w:vAlign w:val="bottom"/>
            <w:hideMark/>
          </w:tcPr>
          <w:p w14:paraId="3A36AC55" w14:textId="77777777" w:rsidR="00CA5D8B" w:rsidRPr="00C057B6" w:rsidRDefault="00CA5D8B" w:rsidP="00CA5D8B">
            <w:pPr>
              <w:spacing w:after="0" w:line="240" w:lineRule="auto"/>
              <w:rPr>
                <w:rFonts w:ascii="Arial" w:eastAsia="Times New Roman" w:hAnsi="Arial" w:cs="Arial"/>
                <w:b/>
                <w:bCs/>
                <w:color w:val="000000"/>
                <w:lang w:eastAsia="cs-CZ"/>
              </w:rPr>
            </w:pPr>
            <w:r w:rsidRPr="00C057B6">
              <w:rPr>
                <w:rFonts w:ascii="Arial" w:eastAsia="Times New Roman" w:hAnsi="Arial" w:cs="Arial"/>
                <w:bCs/>
                <w:color w:val="000000"/>
                <w:lang w:eastAsia="cs-CZ"/>
              </w:rPr>
              <w:t>Frantál</w:t>
            </w:r>
            <w:r w:rsidRPr="00C057B6">
              <w:rPr>
                <w:rFonts w:ascii="Arial" w:eastAsia="Times New Roman" w:hAnsi="Arial" w:cs="Arial"/>
                <w:color w:val="000000"/>
                <w:lang w:eastAsia="cs-CZ"/>
              </w:rPr>
              <w:t xml:space="preserve">, Van der Horst, </w:t>
            </w:r>
            <w:r w:rsidRPr="00C057B6">
              <w:rPr>
                <w:rFonts w:ascii="Arial" w:eastAsia="Times New Roman" w:hAnsi="Arial" w:cs="Arial"/>
                <w:bCs/>
                <w:color w:val="000000"/>
                <w:lang w:eastAsia="cs-CZ"/>
              </w:rPr>
              <w:t>Martinát</w:t>
            </w:r>
            <w:r w:rsidRPr="00C057B6">
              <w:rPr>
                <w:rFonts w:ascii="Arial" w:eastAsia="Times New Roman" w:hAnsi="Arial" w:cs="Arial"/>
                <w:color w:val="000000"/>
                <w:lang w:eastAsia="cs-CZ"/>
              </w:rPr>
              <w:t>, Schmitz, Teschner, Silva, Golobic, Roth</w:t>
            </w:r>
          </w:p>
        </w:tc>
        <w:tc>
          <w:tcPr>
            <w:tcW w:w="3118" w:type="dxa"/>
            <w:shd w:val="clear" w:color="auto" w:fill="auto"/>
            <w:noWrap/>
            <w:vAlign w:val="bottom"/>
            <w:hideMark/>
          </w:tcPr>
          <w:p w14:paraId="5E7DFBB7"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AV Geonika</w:t>
            </w:r>
          </w:p>
        </w:tc>
        <w:tc>
          <w:tcPr>
            <w:tcW w:w="992" w:type="dxa"/>
            <w:shd w:val="clear" w:color="auto" w:fill="auto"/>
            <w:noWrap/>
            <w:vAlign w:val="bottom"/>
            <w:hideMark/>
          </w:tcPr>
          <w:p w14:paraId="222E7639" w14:textId="77777777" w:rsidR="00CA5D8B" w:rsidRPr="00C057B6" w:rsidRDefault="00CA5D8B" w:rsidP="00CA5D8B">
            <w:pPr>
              <w:spacing w:after="0" w:line="240" w:lineRule="auto"/>
              <w:jc w:val="center"/>
              <w:rPr>
                <w:rFonts w:ascii="Arial" w:eastAsia="Times New Roman" w:hAnsi="Arial" w:cs="Arial"/>
                <w:color w:val="000000"/>
                <w:lang w:eastAsia="cs-CZ"/>
              </w:rPr>
            </w:pPr>
            <w:r w:rsidRPr="00C057B6">
              <w:rPr>
                <w:rFonts w:ascii="Arial" w:eastAsia="Times New Roman" w:hAnsi="Arial" w:cs="Arial"/>
                <w:color w:val="000000"/>
                <w:lang w:eastAsia="cs-CZ"/>
              </w:rPr>
              <w:t>Článek</w:t>
            </w:r>
          </w:p>
        </w:tc>
        <w:tc>
          <w:tcPr>
            <w:tcW w:w="1819" w:type="dxa"/>
            <w:shd w:val="clear" w:color="auto" w:fill="auto"/>
            <w:noWrap/>
            <w:vAlign w:val="bottom"/>
            <w:hideMark/>
          </w:tcPr>
          <w:p w14:paraId="6B7A1AE8" w14:textId="77777777" w:rsidR="00CA5D8B" w:rsidRPr="00C057B6" w:rsidRDefault="00CA5D8B" w:rsidP="00CA5D8B">
            <w:pPr>
              <w:spacing w:after="0" w:line="240" w:lineRule="auto"/>
              <w:rPr>
                <w:rFonts w:ascii="Arial" w:eastAsia="Times New Roman" w:hAnsi="Arial" w:cs="Arial"/>
                <w:color w:val="000000"/>
                <w:lang w:eastAsia="cs-CZ"/>
              </w:rPr>
            </w:pPr>
          </w:p>
          <w:p w14:paraId="46672AF2"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Přínos k poznání</w:t>
            </w:r>
          </w:p>
        </w:tc>
      </w:tr>
      <w:tr w:rsidR="00CA5D8B" w:rsidRPr="00C057B6" w14:paraId="21A714E7" w14:textId="77777777" w:rsidTr="00CA5D8B">
        <w:trPr>
          <w:trHeight w:val="300"/>
        </w:trPr>
        <w:tc>
          <w:tcPr>
            <w:tcW w:w="550" w:type="dxa"/>
            <w:shd w:val="clear" w:color="auto" w:fill="auto"/>
            <w:noWrap/>
            <w:vAlign w:val="bottom"/>
            <w:hideMark/>
          </w:tcPr>
          <w:p w14:paraId="0C430CF2"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lastRenderedPageBreak/>
              <w:t>5.7.</w:t>
            </w:r>
          </w:p>
        </w:tc>
        <w:tc>
          <w:tcPr>
            <w:tcW w:w="2989" w:type="dxa"/>
            <w:shd w:val="clear" w:color="auto" w:fill="auto"/>
            <w:noWrap/>
            <w:vAlign w:val="bottom"/>
            <w:hideMark/>
          </w:tcPr>
          <w:p w14:paraId="035456B1"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Global production networks, foreign direct investment and supplier linkages in the integratedperipheries of the automotive industries.</w:t>
            </w:r>
          </w:p>
        </w:tc>
        <w:tc>
          <w:tcPr>
            <w:tcW w:w="2552" w:type="dxa"/>
            <w:shd w:val="clear" w:color="auto" w:fill="auto"/>
            <w:noWrap/>
            <w:vAlign w:val="bottom"/>
            <w:hideMark/>
          </w:tcPr>
          <w:p w14:paraId="558E6F4F"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Pavlínek Petr</w:t>
            </w:r>
          </w:p>
        </w:tc>
        <w:tc>
          <w:tcPr>
            <w:tcW w:w="3118" w:type="dxa"/>
            <w:shd w:val="clear" w:color="auto" w:fill="auto"/>
            <w:noWrap/>
            <w:vAlign w:val="bottom"/>
            <w:hideMark/>
          </w:tcPr>
          <w:p w14:paraId="54510D94"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UK Praha, PřF, Katedra sociální geografie a regionálního rozvoje</w:t>
            </w:r>
          </w:p>
        </w:tc>
        <w:tc>
          <w:tcPr>
            <w:tcW w:w="992" w:type="dxa"/>
            <w:shd w:val="clear" w:color="auto" w:fill="auto"/>
            <w:noWrap/>
            <w:vAlign w:val="bottom"/>
            <w:hideMark/>
          </w:tcPr>
          <w:p w14:paraId="4482DC7A" w14:textId="77777777" w:rsidR="00CA5D8B" w:rsidRPr="00C057B6" w:rsidRDefault="00CA5D8B" w:rsidP="00CA5D8B">
            <w:pPr>
              <w:spacing w:after="0" w:line="240" w:lineRule="auto"/>
              <w:jc w:val="center"/>
              <w:rPr>
                <w:rFonts w:ascii="Arial" w:eastAsia="Times New Roman" w:hAnsi="Arial" w:cs="Arial"/>
                <w:color w:val="000000"/>
                <w:lang w:eastAsia="cs-CZ"/>
              </w:rPr>
            </w:pPr>
            <w:r w:rsidRPr="00C057B6">
              <w:rPr>
                <w:rFonts w:ascii="Arial" w:eastAsia="Times New Roman" w:hAnsi="Arial" w:cs="Arial"/>
                <w:color w:val="000000"/>
                <w:lang w:eastAsia="cs-CZ"/>
              </w:rPr>
              <w:t>Článek</w:t>
            </w:r>
          </w:p>
        </w:tc>
        <w:tc>
          <w:tcPr>
            <w:tcW w:w="1819" w:type="dxa"/>
            <w:shd w:val="clear" w:color="auto" w:fill="auto"/>
            <w:noWrap/>
            <w:vAlign w:val="bottom"/>
            <w:hideMark/>
          </w:tcPr>
          <w:p w14:paraId="6B511BDE"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Přínos k poznání</w:t>
            </w:r>
          </w:p>
        </w:tc>
      </w:tr>
      <w:tr w:rsidR="00CA5D8B" w:rsidRPr="00C057B6" w14:paraId="18B5495F" w14:textId="77777777" w:rsidTr="00CA5D8B">
        <w:trPr>
          <w:trHeight w:val="315"/>
        </w:trPr>
        <w:tc>
          <w:tcPr>
            <w:tcW w:w="550" w:type="dxa"/>
            <w:shd w:val="clear" w:color="auto" w:fill="auto"/>
            <w:noWrap/>
            <w:vAlign w:val="bottom"/>
            <w:hideMark/>
          </w:tcPr>
          <w:p w14:paraId="21D9A222"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5.8.</w:t>
            </w:r>
          </w:p>
        </w:tc>
        <w:tc>
          <w:tcPr>
            <w:tcW w:w="2989" w:type="dxa"/>
            <w:shd w:val="clear" w:color="auto" w:fill="auto"/>
            <w:noWrap/>
            <w:vAlign w:val="bottom"/>
            <w:hideMark/>
          </w:tcPr>
          <w:p w14:paraId="352DBF61"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Gaming the Iron Curtain: How Teenagers and Amateurs in Communist Czechoslovakia Claimed the Medium of Computer Games</w:t>
            </w:r>
          </w:p>
        </w:tc>
        <w:tc>
          <w:tcPr>
            <w:tcW w:w="2552" w:type="dxa"/>
            <w:shd w:val="clear" w:color="auto" w:fill="auto"/>
            <w:noWrap/>
            <w:vAlign w:val="bottom"/>
            <w:hideMark/>
          </w:tcPr>
          <w:p w14:paraId="3713BB97"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Švelch, Jaroslav</w:t>
            </w:r>
          </w:p>
        </w:tc>
        <w:tc>
          <w:tcPr>
            <w:tcW w:w="3118" w:type="dxa"/>
            <w:shd w:val="clear" w:color="auto" w:fill="auto"/>
            <w:noWrap/>
            <w:vAlign w:val="bottom"/>
            <w:hideMark/>
          </w:tcPr>
          <w:p w14:paraId="0B10510C"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Univerzita Karlova/Fakulta sociálních věd</w:t>
            </w:r>
          </w:p>
        </w:tc>
        <w:tc>
          <w:tcPr>
            <w:tcW w:w="992" w:type="dxa"/>
            <w:shd w:val="clear" w:color="auto" w:fill="auto"/>
            <w:noWrap/>
            <w:vAlign w:val="bottom"/>
            <w:hideMark/>
          </w:tcPr>
          <w:p w14:paraId="0C01EDE3" w14:textId="77777777" w:rsidR="00CA5D8B" w:rsidRPr="00C057B6" w:rsidRDefault="00CA5D8B" w:rsidP="00CA5D8B">
            <w:pPr>
              <w:spacing w:after="0" w:line="240" w:lineRule="auto"/>
              <w:jc w:val="center"/>
              <w:rPr>
                <w:rFonts w:ascii="Arial" w:eastAsia="Times New Roman" w:hAnsi="Arial" w:cs="Arial"/>
                <w:color w:val="000000"/>
                <w:lang w:eastAsia="cs-CZ"/>
              </w:rPr>
            </w:pPr>
            <w:r w:rsidRPr="00C057B6">
              <w:rPr>
                <w:rFonts w:ascii="Arial" w:eastAsia="Times New Roman" w:hAnsi="Arial" w:cs="Arial"/>
                <w:color w:val="000000"/>
                <w:lang w:eastAsia="cs-CZ"/>
              </w:rPr>
              <w:t>Kniha</w:t>
            </w:r>
          </w:p>
        </w:tc>
        <w:tc>
          <w:tcPr>
            <w:tcW w:w="1819" w:type="dxa"/>
            <w:shd w:val="clear" w:color="auto" w:fill="auto"/>
            <w:noWrap/>
            <w:vAlign w:val="bottom"/>
            <w:hideMark/>
          </w:tcPr>
          <w:p w14:paraId="410FDD9B" w14:textId="77777777" w:rsidR="00CA5D8B" w:rsidRPr="00C057B6" w:rsidRDefault="00CA5D8B" w:rsidP="00CA5D8B">
            <w:pPr>
              <w:spacing w:after="0" w:line="240" w:lineRule="auto"/>
              <w:rPr>
                <w:rFonts w:ascii="Arial" w:eastAsia="Times New Roman" w:hAnsi="Arial" w:cs="Arial"/>
                <w:color w:val="000000"/>
                <w:lang w:eastAsia="cs-CZ"/>
              </w:rPr>
            </w:pPr>
            <w:r w:rsidRPr="00C057B6">
              <w:rPr>
                <w:rFonts w:ascii="Arial" w:eastAsia="Times New Roman" w:hAnsi="Arial" w:cs="Arial"/>
                <w:color w:val="000000"/>
                <w:lang w:eastAsia="cs-CZ"/>
              </w:rPr>
              <w:t>Přínos k poznání</w:t>
            </w:r>
          </w:p>
        </w:tc>
      </w:tr>
    </w:tbl>
    <w:p w14:paraId="7DCC6E9D" w14:textId="77777777" w:rsidR="005667AE" w:rsidRPr="00C057B6" w:rsidRDefault="005667AE">
      <w:pPr>
        <w:rPr>
          <w:rFonts w:ascii="Arial" w:hAnsi="Arial" w:cs="Arial"/>
        </w:rPr>
      </w:pPr>
    </w:p>
    <w:p w14:paraId="26BC8A94" w14:textId="77777777" w:rsidR="00CA5D8B" w:rsidRPr="00C057B6" w:rsidRDefault="00CA5D8B">
      <w:pPr>
        <w:rPr>
          <w:rFonts w:ascii="Arial" w:hAnsi="Arial" w:cs="Arial"/>
        </w:rPr>
        <w:sectPr w:rsidR="00CA5D8B" w:rsidRPr="00C057B6" w:rsidSect="00CA5D8B">
          <w:pgSz w:w="16838" w:h="11906" w:orient="landscape"/>
          <w:pgMar w:top="1418" w:right="1418" w:bottom="1418" w:left="1418" w:header="709" w:footer="709" w:gutter="0"/>
          <w:cols w:space="708"/>
          <w:docGrid w:linePitch="360"/>
        </w:sectPr>
      </w:pPr>
    </w:p>
    <w:p w14:paraId="2A1D07E3" w14:textId="77777777" w:rsidR="00FD22F3" w:rsidRPr="00C057B6" w:rsidRDefault="00FD22F3">
      <w:pPr>
        <w:rPr>
          <w:rFonts w:ascii="Arial" w:hAnsi="Arial" w:cs="Arial"/>
        </w:rPr>
      </w:pPr>
    </w:p>
    <w:p w14:paraId="36C46B2E" w14:textId="77777777" w:rsidR="005667AE" w:rsidRPr="00C057B6" w:rsidRDefault="00E1388E" w:rsidP="00E1388E">
      <w:pPr>
        <w:pStyle w:val="Nadpis2"/>
        <w:rPr>
          <w:rFonts w:ascii="Arial" w:hAnsi="Arial" w:cs="Arial"/>
          <w:sz w:val="22"/>
          <w:szCs w:val="22"/>
        </w:rPr>
      </w:pPr>
      <w:r w:rsidRPr="00C057B6">
        <w:rPr>
          <w:rFonts w:ascii="Arial" w:hAnsi="Arial" w:cs="Arial"/>
          <w:sz w:val="22"/>
          <w:szCs w:val="22"/>
        </w:rPr>
        <w:t>Podprůměrné výsledky</w:t>
      </w:r>
    </w:p>
    <w:p w14:paraId="285083C7" w14:textId="77777777" w:rsidR="00B75860" w:rsidRPr="00C057B6" w:rsidRDefault="00482546" w:rsidP="00E3656E">
      <w:pPr>
        <w:jc w:val="both"/>
        <w:rPr>
          <w:rFonts w:ascii="Arial" w:hAnsi="Arial" w:cs="Arial"/>
        </w:rPr>
      </w:pPr>
      <w:r w:rsidRPr="00C057B6">
        <w:rPr>
          <w:rFonts w:ascii="Arial" w:hAnsi="Arial" w:cs="Arial"/>
        </w:rPr>
        <w:t>Celkem 58, tj. 16,5 % výsledků bylo hodnoceno jako podprůměrných, což je o něco málo vyšší podíl než v minulém roce (14,2 %). Nejvyšší podíl podprůměrných výsledků byl vykázán ve</w:t>
      </w:r>
      <w:r w:rsidR="00E3656E">
        <w:rPr>
          <w:rFonts w:ascii="Arial" w:hAnsi="Arial" w:cs="Arial"/>
        </w:rPr>
        <w:t> </w:t>
      </w:r>
      <w:r w:rsidRPr="00C057B6">
        <w:rPr>
          <w:rFonts w:ascii="Arial" w:hAnsi="Arial" w:cs="Arial"/>
        </w:rPr>
        <w:t>Fordu 5.9. Othe</w:t>
      </w:r>
      <w:r w:rsidR="001C27E7" w:rsidRPr="00C057B6">
        <w:rPr>
          <w:rFonts w:ascii="Arial" w:hAnsi="Arial" w:cs="Arial"/>
        </w:rPr>
        <w:t>r Social Sciences (celých 50 %), 5.3. Education (30 %), 5.2. Economics and</w:t>
      </w:r>
      <w:r w:rsidR="00E3656E">
        <w:rPr>
          <w:rFonts w:ascii="Arial" w:hAnsi="Arial" w:cs="Arial"/>
        </w:rPr>
        <w:t> </w:t>
      </w:r>
      <w:r w:rsidR="001C27E7" w:rsidRPr="00C057B6">
        <w:rPr>
          <w:rFonts w:ascii="Arial" w:hAnsi="Arial" w:cs="Arial"/>
        </w:rPr>
        <w:t>Business (21 %) a 5.6. Political Science (19 %). Naopak v jiných oborech nebyl vykázán ani jeden podprůměrný výsledek: 5.5. Law a</w:t>
      </w:r>
      <w:r w:rsidR="004B6799" w:rsidRPr="00C057B6">
        <w:rPr>
          <w:rFonts w:ascii="Arial" w:hAnsi="Arial" w:cs="Arial"/>
        </w:rPr>
        <w:t xml:space="preserve"> </w:t>
      </w:r>
      <w:r w:rsidR="001C27E7" w:rsidRPr="00C057B6">
        <w:rPr>
          <w:rFonts w:ascii="Arial" w:hAnsi="Arial" w:cs="Arial"/>
        </w:rPr>
        <w:t>5.7. Social and Economic Geography.</w:t>
      </w:r>
    </w:p>
    <w:p w14:paraId="33DC2862" w14:textId="77777777" w:rsidR="00482546" w:rsidRPr="00C057B6" w:rsidRDefault="00482546" w:rsidP="00E3656E">
      <w:pPr>
        <w:jc w:val="both"/>
        <w:rPr>
          <w:rFonts w:ascii="Arial" w:hAnsi="Arial" w:cs="Arial"/>
        </w:rPr>
      </w:pPr>
      <w:r w:rsidRPr="00C057B6">
        <w:rPr>
          <w:rFonts w:ascii="Arial" w:hAnsi="Arial" w:cs="Arial"/>
        </w:rPr>
        <w:t xml:space="preserve">Z významné části </w:t>
      </w:r>
      <w:r w:rsidR="001C27E7" w:rsidRPr="00C057B6">
        <w:rPr>
          <w:rFonts w:ascii="Arial" w:hAnsi="Arial" w:cs="Arial"/>
        </w:rPr>
        <w:t xml:space="preserve">(43 %) </w:t>
      </w:r>
      <w:r w:rsidRPr="00C057B6">
        <w:rPr>
          <w:rFonts w:ascii="Arial" w:hAnsi="Arial" w:cs="Arial"/>
        </w:rPr>
        <w:t>se jednalo o výsledky, které nebyly zaslány vzdáleným recenzentům a byly jako podprůměrné hodnoceny přímo garantem. Důvodem bylo zpravidla to, že chyběly podklady po hodnocení výsledku (text nebyl přiložen, nebyl veřejně dostupný nebo nebyla přiložena finální verze výsledku.</w:t>
      </w:r>
      <w:r w:rsidR="001C27E7" w:rsidRPr="00C057B6">
        <w:rPr>
          <w:rFonts w:ascii="Arial" w:hAnsi="Arial" w:cs="Arial"/>
        </w:rPr>
        <w:t xml:space="preserve"> Dále se jednalo o výsledky, které nemohly být zařazeny jako vědecké (zejména u Fordu 5.9.). Nezasílání těchto nekvalitních výsledků</w:t>
      </w:r>
      <w:r w:rsidR="00AD2218" w:rsidRPr="00C057B6">
        <w:rPr>
          <w:rFonts w:ascii="Arial" w:hAnsi="Arial" w:cs="Arial"/>
        </w:rPr>
        <w:t xml:space="preserve"> vzdáleným hodnotitelům</w:t>
      </w:r>
      <w:r w:rsidR="001C27E7" w:rsidRPr="00C057B6">
        <w:rPr>
          <w:rFonts w:ascii="Arial" w:hAnsi="Arial" w:cs="Arial"/>
        </w:rPr>
        <w:t xml:space="preserve"> se jeví jak</w:t>
      </w:r>
      <w:r w:rsidR="00DA3D2B">
        <w:rPr>
          <w:rFonts w:ascii="Arial" w:hAnsi="Arial" w:cs="Arial"/>
        </w:rPr>
        <w:t>o</w:t>
      </w:r>
      <w:r w:rsidR="001C27E7" w:rsidRPr="00C057B6">
        <w:rPr>
          <w:rFonts w:ascii="Arial" w:hAnsi="Arial" w:cs="Arial"/>
        </w:rPr>
        <w:t xml:space="preserve"> značná úspora </w:t>
      </w:r>
      <w:r w:rsidR="00AD2218" w:rsidRPr="00C057B6">
        <w:rPr>
          <w:rFonts w:ascii="Arial" w:hAnsi="Arial" w:cs="Arial"/>
        </w:rPr>
        <w:t xml:space="preserve">jejich </w:t>
      </w:r>
      <w:r w:rsidR="001C27E7" w:rsidRPr="00C057B6">
        <w:rPr>
          <w:rFonts w:ascii="Arial" w:hAnsi="Arial" w:cs="Arial"/>
        </w:rPr>
        <w:t>času.</w:t>
      </w:r>
    </w:p>
    <w:p w14:paraId="20060F32" w14:textId="77777777" w:rsidR="00B75860" w:rsidRPr="00C057B6" w:rsidRDefault="00482546" w:rsidP="00AD2218">
      <w:pPr>
        <w:rPr>
          <w:rFonts w:ascii="Arial" w:hAnsi="Arial" w:cs="Arial"/>
        </w:rPr>
      </w:pPr>
      <w:r w:rsidRPr="00C057B6">
        <w:rPr>
          <w:rFonts w:ascii="Arial" w:hAnsi="Arial" w:cs="Arial"/>
        </w:rPr>
        <w:t xml:space="preserve">    </w:t>
      </w:r>
    </w:p>
    <w:p w14:paraId="2381B19B" w14:textId="77777777" w:rsidR="00B75860" w:rsidRPr="00C057B6" w:rsidRDefault="00B75860" w:rsidP="00E1388E">
      <w:pPr>
        <w:pStyle w:val="Nadpis2"/>
        <w:rPr>
          <w:rFonts w:ascii="Arial" w:hAnsi="Arial" w:cs="Arial"/>
          <w:sz w:val="22"/>
          <w:szCs w:val="22"/>
        </w:rPr>
      </w:pPr>
      <w:r w:rsidRPr="00C057B6">
        <w:rPr>
          <w:rFonts w:ascii="Arial" w:hAnsi="Arial" w:cs="Arial"/>
          <w:sz w:val="22"/>
          <w:szCs w:val="22"/>
        </w:rPr>
        <w:t>Srovnání výsledků podle obou kritérií hodnocení</w:t>
      </w:r>
    </w:p>
    <w:p w14:paraId="418742E0" w14:textId="77777777" w:rsidR="00900CD8" w:rsidRPr="00C057B6" w:rsidRDefault="00900CD8" w:rsidP="00E3656E">
      <w:pPr>
        <w:jc w:val="both"/>
        <w:rPr>
          <w:rFonts w:ascii="Arial" w:hAnsi="Arial" w:cs="Arial"/>
        </w:rPr>
      </w:pPr>
      <w:r w:rsidRPr="00C057B6">
        <w:rPr>
          <w:rFonts w:ascii="Arial" w:hAnsi="Arial" w:cs="Arial"/>
        </w:rPr>
        <w:t>Výsledky hodnocené v rámci společenské relevance vykazují nadále neúměrně vysoký počet podprůměrných výsledků</w:t>
      </w:r>
      <w:r w:rsidR="00AD2218" w:rsidRPr="00C057B6">
        <w:rPr>
          <w:rFonts w:ascii="Arial" w:hAnsi="Arial" w:cs="Arial"/>
        </w:rPr>
        <w:t>, podobně jako v minulém roce (v tomto roce jich bylo 28 %, v předešlém roce 23 %)</w:t>
      </w:r>
      <w:r w:rsidRPr="00C057B6">
        <w:rPr>
          <w:rFonts w:ascii="Arial" w:hAnsi="Arial" w:cs="Arial"/>
        </w:rPr>
        <w:t xml:space="preserve">. Výstupy, které byly předloženy v kategorii přínosu poznání, tak opět zaznamenaly mnohem lepší výsledky, kdy nejhorší známku 5 obdrželo pouze </w:t>
      </w:r>
      <w:r w:rsidR="00AD2218" w:rsidRPr="00C057B6">
        <w:rPr>
          <w:rFonts w:ascii="Arial" w:hAnsi="Arial" w:cs="Arial"/>
        </w:rPr>
        <w:t>6 %</w:t>
      </w:r>
      <w:r w:rsidRPr="00C057B6">
        <w:rPr>
          <w:rFonts w:ascii="Arial" w:hAnsi="Arial" w:cs="Arial"/>
        </w:rPr>
        <w:t xml:space="preserve"> případů. </w:t>
      </w:r>
      <w:r w:rsidR="00AD2218" w:rsidRPr="00C057B6">
        <w:rPr>
          <w:rFonts w:ascii="Arial" w:hAnsi="Arial" w:cs="Arial"/>
        </w:rPr>
        <w:t xml:space="preserve">Průměrné hodnocení podle kritéria přínosu k poznání </w:t>
      </w:r>
      <w:r w:rsidR="0060047A" w:rsidRPr="00C057B6">
        <w:rPr>
          <w:rFonts w:ascii="Arial" w:hAnsi="Arial" w:cs="Arial"/>
        </w:rPr>
        <w:t xml:space="preserve">činilo 2,9 a podle kritéria společenské relevance 3,7. </w:t>
      </w:r>
      <w:r w:rsidRPr="00C057B6">
        <w:rPr>
          <w:rFonts w:ascii="Arial" w:hAnsi="Arial" w:cs="Arial"/>
        </w:rPr>
        <w:t xml:space="preserve">U všech Fordů bylo průměrné hodnocení podle společenské relevance </w:t>
      </w:r>
      <w:r w:rsidR="0060047A" w:rsidRPr="00C057B6">
        <w:rPr>
          <w:rFonts w:ascii="Arial" w:hAnsi="Arial" w:cs="Arial"/>
        </w:rPr>
        <w:t>horší</w:t>
      </w:r>
      <w:r w:rsidRPr="00C057B6">
        <w:rPr>
          <w:rFonts w:ascii="Arial" w:hAnsi="Arial" w:cs="Arial"/>
        </w:rPr>
        <w:t xml:space="preserve"> než podle přínosu k poznání. To je částečně způsobeno nižší kvalitou výsledků zasílaných do</w:t>
      </w:r>
      <w:r w:rsidR="00E3656E">
        <w:rPr>
          <w:rFonts w:ascii="Arial" w:hAnsi="Arial" w:cs="Arial"/>
        </w:rPr>
        <w:t> </w:t>
      </w:r>
      <w:r w:rsidRPr="00C057B6">
        <w:rPr>
          <w:rFonts w:ascii="Arial" w:hAnsi="Arial" w:cs="Arial"/>
        </w:rPr>
        <w:t>hodnocení podle tohoto kritéria, ale také obtížností reálně prokázat společenskou relevanci v sociálních vědách (zejména 1-2 roky po publikování výsledku).</w:t>
      </w:r>
    </w:p>
    <w:p w14:paraId="7D1D74B9" w14:textId="77777777" w:rsidR="00AD2218" w:rsidRPr="00C057B6" w:rsidRDefault="0060047A" w:rsidP="00900CD8">
      <w:pPr>
        <w:rPr>
          <w:rFonts w:ascii="Arial" w:hAnsi="Arial" w:cs="Arial"/>
        </w:rPr>
      </w:pPr>
      <w:r w:rsidRPr="00C057B6">
        <w:rPr>
          <w:rFonts w:ascii="Arial" w:hAnsi="Arial" w:cs="Arial"/>
          <w:noProof/>
          <w:lang w:eastAsia="cs-CZ"/>
        </w:rPr>
        <w:drawing>
          <wp:inline distT="0" distB="0" distL="0" distR="0" wp14:anchorId="59786F39" wp14:editId="7C4FD1C5">
            <wp:extent cx="4572000" cy="2743200"/>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E13C5E1" w14:textId="77777777" w:rsidR="00B75860" w:rsidRPr="00C057B6" w:rsidRDefault="00B75860" w:rsidP="00B75860">
      <w:pPr>
        <w:pStyle w:val="Odstavecseseznamem"/>
        <w:rPr>
          <w:rFonts w:ascii="Arial" w:hAnsi="Arial" w:cs="Arial"/>
        </w:rPr>
      </w:pPr>
    </w:p>
    <w:p w14:paraId="079B3F81" w14:textId="77777777" w:rsidR="00E06AC4" w:rsidRPr="00C057B6" w:rsidRDefault="00E06AC4" w:rsidP="00E06AC4">
      <w:pPr>
        <w:pStyle w:val="Odstavecseseznamem"/>
        <w:rPr>
          <w:rFonts w:ascii="Arial" w:hAnsi="Arial" w:cs="Arial"/>
        </w:rPr>
      </w:pPr>
    </w:p>
    <w:p w14:paraId="69DFE797" w14:textId="77777777" w:rsidR="0060047A" w:rsidRPr="00C057B6" w:rsidRDefault="00E06AC4" w:rsidP="00E1388E">
      <w:pPr>
        <w:pStyle w:val="Nadpis2"/>
        <w:rPr>
          <w:rFonts w:ascii="Arial" w:hAnsi="Arial" w:cs="Arial"/>
          <w:sz w:val="22"/>
          <w:szCs w:val="22"/>
        </w:rPr>
      </w:pPr>
      <w:r w:rsidRPr="00C057B6">
        <w:rPr>
          <w:rFonts w:ascii="Arial" w:hAnsi="Arial" w:cs="Arial"/>
          <w:sz w:val="22"/>
          <w:szCs w:val="22"/>
        </w:rPr>
        <w:t>Podíl biobliometrizovaných výsledků přihlášených do vzdáleného hodnoc</w:t>
      </w:r>
      <w:r w:rsidR="0060047A" w:rsidRPr="00C057B6">
        <w:rPr>
          <w:rFonts w:ascii="Arial" w:hAnsi="Arial" w:cs="Arial"/>
          <w:sz w:val="22"/>
          <w:szCs w:val="22"/>
        </w:rPr>
        <w:t>ení</w:t>
      </w:r>
    </w:p>
    <w:p w14:paraId="4DC480BE" w14:textId="77777777" w:rsidR="00476C50" w:rsidRPr="00C057B6" w:rsidRDefault="005E7C09" w:rsidP="00E3656E">
      <w:pPr>
        <w:jc w:val="both"/>
        <w:rPr>
          <w:rFonts w:ascii="Arial" w:hAnsi="Arial" w:cs="Arial"/>
        </w:rPr>
      </w:pPr>
      <w:r w:rsidRPr="00C057B6">
        <w:rPr>
          <w:rFonts w:ascii="Arial" w:hAnsi="Arial" w:cs="Arial"/>
        </w:rPr>
        <w:t xml:space="preserve">Podíl bibliometrizovaných výsledků přihlášených do vzdáleného hodnocení se lišil podle podoborů: </w:t>
      </w:r>
      <w:r w:rsidR="00F32BB4" w:rsidRPr="00C057B6">
        <w:rPr>
          <w:rFonts w:ascii="Arial" w:hAnsi="Arial" w:cs="Arial"/>
        </w:rPr>
        <w:t xml:space="preserve">například </w:t>
      </w:r>
      <w:r w:rsidRPr="00C057B6">
        <w:rPr>
          <w:rFonts w:ascii="Arial" w:hAnsi="Arial" w:cs="Arial"/>
        </w:rPr>
        <w:t>v</w:t>
      </w:r>
      <w:r w:rsidR="00F32BB4" w:rsidRPr="00C057B6">
        <w:rPr>
          <w:rFonts w:ascii="Arial" w:hAnsi="Arial" w:cs="Arial"/>
        </w:rPr>
        <w:t xml:space="preserve">e </w:t>
      </w:r>
      <w:r w:rsidR="0047602E" w:rsidRPr="00C057B6">
        <w:rPr>
          <w:rFonts w:ascii="Arial" w:hAnsi="Arial" w:cs="Arial"/>
        </w:rPr>
        <w:t>F</w:t>
      </w:r>
      <w:r w:rsidR="00F32BB4" w:rsidRPr="00C057B6">
        <w:rPr>
          <w:rFonts w:ascii="Arial" w:hAnsi="Arial" w:cs="Arial"/>
        </w:rPr>
        <w:t>ordu 5.4. Sociology</w:t>
      </w:r>
      <w:r w:rsidRPr="00C057B6">
        <w:rPr>
          <w:rFonts w:ascii="Arial" w:hAnsi="Arial" w:cs="Arial"/>
        </w:rPr>
        <w:t xml:space="preserve"> to byla celá třetina přihlášených výsledků, v</w:t>
      </w:r>
      <w:r w:rsidR="00F32BB4" w:rsidRPr="00C057B6">
        <w:rPr>
          <w:rFonts w:ascii="Arial" w:hAnsi="Arial" w:cs="Arial"/>
        </w:rPr>
        <w:t>e</w:t>
      </w:r>
      <w:r w:rsidR="00E3656E">
        <w:rPr>
          <w:rFonts w:ascii="Arial" w:hAnsi="Arial" w:cs="Arial"/>
        </w:rPr>
        <w:t> </w:t>
      </w:r>
      <w:r w:rsidR="00F32BB4" w:rsidRPr="00C057B6">
        <w:rPr>
          <w:rFonts w:ascii="Arial" w:hAnsi="Arial" w:cs="Arial"/>
        </w:rPr>
        <w:t>Fordu 5.2. Economics and Business</w:t>
      </w:r>
      <w:r w:rsidRPr="00C057B6">
        <w:rPr>
          <w:rFonts w:ascii="Arial" w:hAnsi="Arial" w:cs="Arial"/>
        </w:rPr>
        <w:t xml:space="preserve"> 23 </w:t>
      </w:r>
      <w:r w:rsidR="0060047A" w:rsidRPr="00C057B6">
        <w:rPr>
          <w:rFonts w:ascii="Arial" w:hAnsi="Arial" w:cs="Arial"/>
        </w:rPr>
        <w:t>procent</w:t>
      </w:r>
      <w:r w:rsidR="00F32BB4" w:rsidRPr="00C057B6">
        <w:rPr>
          <w:rFonts w:ascii="Arial" w:hAnsi="Arial" w:cs="Arial"/>
        </w:rPr>
        <w:t>. Úspěšnost</w:t>
      </w:r>
      <w:r w:rsidR="00F519F3" w:rsidRPr="00C057B6">
        <w:rPr>
          <w:rFonts w:ascii="Arial" w:hAnsi="Arial" w:cs="Arial"/>
        </w:rPr>
        <w:t xml:space="preserve"> bibliometrizovaných výsledků</w:t>
      </w:r>
      <w:r w:rsidR="00F32BB4" w:rsidRPr="00C057B6">
        <w:rPr>
          <w:rFonts w:ascii="Arial" w:hAnsi="Arial" w:cs="Arial"/>
        </w:rPr>
        <w:t xml:space="preserve"> byla </w:t>
      </w:r>
      <w:r w:rsidR="00F519F3" w:rsidRPr="00C057B6">
        <w:rPr>
          <w:rFonts w:ascii="Arial" w:hAnsi="Arial" w:cs="Arial"/>
        </w:rPr>
        <w:t>ve vzdáleném hodnocení</w:t>
      </w:r>
      <w:r w:rsidR="00F32BB4" w:rsidRPr="00C057B6">
        <w:rPr>
          <w:rFonts w:ascii="Arial" w:hAnsi="Arial" w:cs="Arial"/>
        </w:rPr>
        <w:t xml:space="preserve"> rámcově vyšší než úspěšnost nebibliometrizovaných výsledků</w:t>
      </w:r>
      <w:r w:rsidR="00F519F3" w:rsidRPr="00C057B6">
        <w:rPr>
          <w:rFonts w:ascii="Arial" w:hAnsi="Arial" w:cs="Arial"/>
        </w:rPr>
        <w:t xml:space="preserve">. </w:t>
      </w:r>
      <w:r w:rsidR="00F519F3" w:rsidRPr="00C057B6">
        <w:rPr>
          <w:rFonts w:ascii="Arial" w:hAnsi="Arial" w:cs="Arial"/>
        </w:rPr>
        <w:lastRenderedPageBreak/>
        <w:t>Špičkové a excelentní výsledky se pak skládaly z valné části</w:t>
      </w:r>
      <w:r w:rsidR="003376A6" w:rsidRPr="00C057B6">
        <w:rPr>
          <w:rFonts w:ascii="Arial" w:hAnsi="Arial" w:cs="Arial"/>
        </w:rPr>
        <w:t xml:space="preserve"> (ze 70 %)</w:t>
      </w:r>
      <w:r w:rsidR="00F519F3" w:rsidRPr="00C057B6">
        <w:rPr>
          <w:rFonts w:ascii="Arial" w:hAnsi="Arial" w:cs="Arial"/>
        </w:rPr>
        <w:t xml:space="preserve"> právě z bibliometrizovaných výsledků (článků publikovaných v dobře umístěných časopisech), knihy a kapitoly zde byly minoritní. </w:t>
      </w:r>
      <w:r w:rsidR="00476C50" w:rsidRPr="00C057B6">
        <w:rPr>
          <w:rFonts w:ascii="Arial" w:hAnsi="Arial" w:cs="Arial"/>
        </w:rPr>
        <w:t xml:space="preserve"> Hodnotitelé ve svých posudcích přihlíželi k prestiži a umístění časopisů, ve kterých byly tyto články publikovány, nebylo </w:t>
      </w:r>
      <w:r w:rsidR="003376A6" w:rsidRPr="00C057B6">
        <w:rPr>
          <w:rFonts w:ascii="Arial" w:hAnsi="Arial" w:cs="Arial"/>
        </w:rPr>
        <w:t>to ale hlavním kritériem (jen v</w:t>
      </w:r>
      <w:r w:rsidR="0095068A" w:rsidRPr="00C057B6">
        <w:rPr>
          <w:rFonts w:ascii="Arial" w:hAnsi="Arial" w:cs="Arial"/>
        </w:rPr>
        <w:t> </w:t>
      </w:r>
      <w:r w:rsidR="00476C50" w:rsidRPr="00C057B6">
        <w:rPr>
          <w:rFonts w:ascii="Arial" w:hAnsi="Arial" w:cs="Arial"/>
        </w:rPr>
        <w:t>případě</w:t>
      </w:r>
      <w:r w:rsidR="0095068A" w:rsidRPr="00C057B6">
        <w:rPr>
          <w:rFonts w:ascii="Arial" w:hAnsi="Arial" w:cs="Arial"/>
        </w:rPr>
        <w:t xml:space="preserve"> článku</w:t>
      </w:r>
      <w:r w:rsidR="003376A6" w:rsidRPr="00C057B6">
        <w:rPr>
          <w:rFonts w:ascii="Arial" w:hAnsi="Arial" w:cs="Arial"/>
        </w:rPr>
        <w:t xml:space="preserve"> "Performing Housing Debt Attachments: Forming Semi-financialised Subjects“</w:t>
      </w:r>
      <w:r w:rsidR="0095068A" w:rsidRPr="00C057B6">
        <w:rPr>
          <w:rFonts w:ascii="Arial" w:hAnsi="Arial" w:cs="Arial"/>
        </w:rPr>
        <w:t xml:space="preserve">, vykázaném ve Fordu 5.4. Sociology, </w:t>
      </w:r>
      <w:r w:rsidR="00476C50" w:rsidRPr="00C057B6">
        <w:rPr>
          <w:rFonts w:ascii="Arial" w:hAnsi="Arial" w:cs="Arial"/>
        </w:rPr>
        <w:t>byl posudek vrácen k přepracování, jelikož se jeho argumentace opírala jen o toto kritérium). Prestiž a vysoký I</w:t>
      </w:r>
      <w:r w:rsidR="00F32BB4" w:rsidRPr="00C057B6">
        <w:rPr>
          <w:rFonts w:ascii="Arial" w:hAnsi="Arial" w:cs="Arial"/>
        </w:rPr>
        <w:t>F</w:t>
      </w:r>
      <w:r w:rsidR="00476C50" w:rsidRPr="00C057B6">
        <w:rPr>
          <w:rFonts w:ascii="Arial" w:hAnsi="Arial" w:cs="Arial"/>
        </w:rPr>
        <w:t xml:space="preserve"> časopisu </w:t>
      </w:r>
      <w:r w:rsidR="00F32BB4" w:rsidRPr="00C057B6">
        <w:rPr>
          <w:rFonts w:ascii="Arial" w:hAnsi="Arial" w:cs="Arial"/>
        </w:rPr>
        <w:t>ale</w:t>
      </w:r>
      <w:r w:rsidR="00476C50" w:rsidRPr="00C057B6">
        <w:rPr>
          <w:rFonts w:ascii="Arial" w:hAnsi="Arial" w:cs="Arial"/>
        </w:rPr>
        <w:t xml:space="preserve"> nezaručova</w:t>
      </w:r>
      <w:r w:rsidR="0047602E" w:rsidRPr="00C057B6">
        <w:rPr>
          <w:rFonts w:ascii="Arial" w:hAnsi="Arial" w:cs="Arial"/>
        </w:rPr>
        <w:t>ly</w:t>
      </w:r>
      <w:r w:rsidR="00476C50" w:rsidRPr="00C057B6">
        <w:rPr>
          <w:rFonts w:ascii="Arial" w:hAnsi="Arial" w:cs="Arial"/>
        </w:rPr>
        <w:t xml:space="preserve"> vynikající hodnocení: i články v časopisech umístěných v prvním a druhém kvartilu dosahovaly</w:t>
      </w:r>
      <w:r w:rsidR="00B84493" w:rsidRPr="00C057B6">
        <w:rPr>
          <w:rFonts w:ascii="Arial" w:hAnsi="Arial" w:cs="Arial"/>
        </w:rPr>
        <w:t xml:space="preserve"> „pouze“</w:t>
      </w:r>
      <w:r w:rsidR="00476C50" w:rsidRPr="00C057B6">
        <w:rPr>
          <w:rFonts w:ascii="Arial" w:hAnsi="Arial" w:cs="Arial"/>
        </w:rPr>
        <w:t xml:space="preserve"> známky </w:t>
      </w:r>
      <w:r w:rsidR="00E54A99" w:rsidRPr="00C057B6">
        <w:rPr>
          <w:rFonts w:ascii="Arial" w:hAnsi="Arial" w:cs="Arial"/>
        </w:rPr>
        <w:t>3, tedy hodnocení „velmi dobrý“ (příkladem je článek</w:t>
      </w:r>
      <w:r w:rsidR="00B84493" w:rsidRPr="00C057B6">
        <w:rPr>
          <w:rFonts w:ascii="Arial" w:hAnsi="Arial" w:cs="Arial"/>
        </w:rPr>
        <w:t xml:space="preserve"> „Cost-effectiveness of</w:t>
      </w:r>
      <w:r w:rsidR="00E3656E">
        <w:rPr>
          <w:rFonts w:ascii="Arial" w:hAnsi="Arial" w:cs="Arial"/>
        </w:rPr>
        <w:t> </w:t>
      </w:r>
      <w:r w:rsidR="00B84493" w:rsidRPr="00C057B6">
        <w:rPr>
          <w:rFonts w:ascii="Arial" w:hAnsi="Arial" w:cs="Arial"/>
        </w:rPr>
        <w:t xml:space="preserve">care for people with psychosis in the community and psychiatric hospitals in the Czech Republic: an economic analysis“ v rámci fordu 5.2., publikovaný v časopise </w:t>
      </w:r>
      <w:r w:rsidR="00B84493" w:rsidRPr="00C057B6">
        <w:rPr>
          <w:rFonts w:ascii="Arial" w:hAnsi="Arial" w:cs="Arial"/>
          <w:i/>
        </w:rPr>
        <w:t>The Lancet Psychiatry</w:t>
      </w:r>
      <w:r w:rsidR="00B84493" w:rsidRPr="00C057B6">
        <w:rPr>
          <w:rFonts w:ascii="Arial" w:hAnsi="Arial" w:cs="Arial"/>
        </w:rPr>
        <w:t xml:space="preserve"> s impakt faktorem za rok 2018 v hodnotě 18,329; nebo článek</w:t>
      </w:r>
      <w:r w:rsidR="00E54A99" w:rsidRPr="00C057B6">
        <w:rPr>
          <w:rFonts w:ascii="Arial" w:hAnsi="Arial" w:cs="Arial"/>
        </w:rPr>
        <w:t xml:space="preserve"> </w:t>
      </w:r>
      <w:r w:rsidR="0037534D" w:rsidRPr="00C057B6">
        <w:rPr>
          <w:rFonts w:ascii="Arial" w:hAnsi="Arial" w:cs="Arial"/>
        </w:rPr>
        <w:t>„</w:t>
      </w:r>
      <w:r w:rsidR="00E54A99" w:rsidRPr="00C057B6">
        <w:rPr>
          <w:rFonts w:ascii="Arial" w:hAnsi="Arial" w:cs="Arial"/>
        </w:rPr>
        <w:t>Victims' Responses to Stalking: An Examination of Fear Levels and Coping Strategies</w:t>
      </w:r>
      <w:r w:rsidR="0037534D" w:rsidRPr="00C057B6">
        <w:rPr>
          <w:rFonts w:ascii="Arial" w:hAnsi="Arial" w:cs="Arial"/>
        </w:rPr>
        <w:t>“</w:t>
      </w:r>
      <w:r w:rsidR="00E54A99" w:rsidRPr="00C057B6">
        <w:rPr>
          <w:rFonts w:ascii="Arial" w:hAnsi="Arial" w:cs="Arial"/>
        </w:rPr>
        <w:t xml:space="preserve"> publikovaný v časopise </w:t>
      </w:r>
      <w:r w:rsidR="00E54A99" w:rsidRPr="00C057B6">
        <w:rPr>
          <w:rFonts w:ascii="Arial" w:hAnsi="Arial" w:cs="Arial"/>
          <w:i/>
        </w:rPr>
        <w:t>Journal of Interpersonal Violence</w:t>
      </w:r>
      <w:r w:rsidR="00E54A99" w:rsidRPr="00C057B6">
        <w:rPr>
          <w:rFonts w:ascii="Arial" w:hAnsi="Arial" w:cs="Arial"/>
        </w:rPr>
        <w:t>, Q2</w:t>
      </w:r>
      <w:r w:rsidR="00B84493" w:rsidRPr="00C057B6">
        <w:rPr>
          <w:rFonts w:ascii="Arial" w:hAnsi="Arial" w:cs="Arial"/>
        </w:rPr>
        <w:t xml:space="preserve"> v rámci sociologie</w:t>
      </w:r>
      <w:r w:rsidR="00E54A99" w:rsidRPr="00C057B6">
        <w:rPr>
          <w:rFonts w:ascii="Arial" w:hAnsi="Arial" w:cs="Arial"/>
        </w:rPr>
        <w:t>)</w:t>
      </w:r>
      <w:r w:rsidR="00B84493" w:rsidRPr="00C057B6">
        <w:rPr>
          <w:rFonts w:ascii="Arial" w:hAnsi="Arial" w:cs="Arial"/>
        </w:rPr>
        <w:t>.</w:t>
      </w:r>
      <w:r w:rsidR="00476C50" w:rsidRPr="00C057B6">
        <w:rPr>
          <w:rFonts w:ascii="Arial" w:hAnsi="Arial" w:cs="Arial"/>
        </w:rPr>
        <w:t xml:space="preserve"> Vyšší impakt faktor časopisu tedy automaticky ne</w:t>
      </w:r>
      <w:r w:rsidR="00B43DE8" w:rsidRPr="00C057B6">
        <w:rPr>
          <w:rFonts w:ascii="Arial" w:hAnsi="Arial" w:cs="Arial"/>
        </w:rPr>
        <w:t>znamenal vysoké hodnocení v M1.</w:t>
      </w:r>
    </w:p>
    <w:p w14:paraId="068BE0A7" w14:textId="77777777" w:rsidR="00F519F3" w:rsidRPr="00C057B6" w:rsidRDefault="00476C50" w:rsidP="00E3656E">
      <w:pPr>
        <w:jc w:val="both"/>
        <w:rPr>
          <w:rFonts w:ascii="Arial" w:hAnsi="Arial" w:cs="Arial"/>
        </w:rPr>
      </w:pPr>
      <w:r w:rsidRPr="00C057B6">
        <w:rPr>
          <w:rFonts w:ascii="Arial" w:hAnsi="Arial" w:cs="Arial"/>
        </w:rPr>
        <w:t>N</w:t>
      </w:r>
      <w:r w:rsidR="00F519F3" w:rsidRPr="00C057B6">
        <w:rPr>
          <w:rFonts w:ascii="Arial" w:hAnsi="Arial" w:cs="Arial"/>
        </w:rPr>
        <w:t>ěkteří garanti považují</w:t>
      </w:r>
      <w:r w:rsidR="00B43DE8" w:rsidRPr="00C057B6">
        <w:rPr>
          <w:rFonts w:ascii="Arial" w:hAnsi="Arial" w:cs="Arial"/>
        </w:rPr>
        <w:t xml:space="preserve"> přístup vykazovat impaktované články</w:t>
      </w:r>
      <w:r w:rsidR="00F519F3" w:rsidRPr="00C057B6">
        <w:rPr>
          <w:rFonts w:ascii="Arial" w:hAnsi="Arial" w:cs="Arial"/>
        </w:rPr>
        <w:t xml:space="preserve"> v rámci vzdáleného hodnocení za sporný, neboť dvakrát bonifikuje totéž, a vzdálené hodnocení by mělo sloužit především k ohodnocení odborných knih a kapitol. Na druhé straně pro kritérium „Přínos poznání“ je konfrontace a komparace bibliometrizovatelných a nebibliometrizovatelných výsledků cenná.</w:t>
      </w:r>
    </w:p>
    <w:p w14:paraId="3F362229" w14:textId="77777777" w:rsidR="00F519F3" w:rsidRPr="00C057B6" w:rsidRDefault="00F519F3" w:rsidP="00F519F3">
      <w:pPr>
        <w:ind w:left="360"/>
        <w:rPr>
          <w:rFonts w:ascii="Arial" w:hAnsi="Arial" w:cs="Arial"/>
        </w:rPr>
      </w:pPr>
    </w:p>
    <w:p w14:paraId="1AC96147" w14:textId="77777777" w:rsidR="0060047A" w:rsidRPr="00C057B6" w:rsidRDefault="00900CD8" w:rsidP="00E1388E">
      <w:pPr>
        <w:pStyle w:val="Nadpis2"/>
        <w:rPr>
          <w:rFonts w:ascii="Arial" w:hAnsi="Arial" w:cs="Arial"/>
          <w:sz w:val="22"/>
          <w:szCs w:val="22"/>
        </w:rPr>
      </w:pPr>
      <w:r w:rsidRPr="00C057B6">
        <w:rPr>
          <w:rFonts w:ascii="Arial" w:hAnsi="Arial" w:cs="Arial"/>
          <w:sz w:val="22"/>
          <w:szCs w:val="22"/>
        </w:rPr>
        <w:t>Práce hodnotitelů</w:t>
      </w:r>
    </w:p>
    <w:p w14:paraId="3AA5A73A" w14:textId="77777777" w:rsidR="00900CD8" w:rsidRPr="00C057B6" w:rsidRDefault="00900CD8" w:rsidP="00E3656E">
      <w:pPr>
        <w:jc w:val="both"/>
        <w:rPr>
          <w:rFonts w:ascii="Arial" w:hAnsi="Arial" w:cs="Arial"/>
        </w:rPr>
      </w:pPr>
      <w:r w:rsidRPr="00C057B6">
        <w:rPr>
          <w:rFonts w:ascii="Arial" w:hAnsi="Arial" w:cs="Arial"/>
        </w:rPr>
        <w:t xml:space="preserve">V letošním hodnocení se zlepšila spolehlivost hodnotitelů jak s ohledem na kvalitu hodnocení, tak na jejich responzivitu. Nicméně v některých případech nadále přetrvávají dílčí problémy s kvalitou hodnocení, a to zejména s ohledem na jejich korespondenci s mezinárodními standardy. </w:t>
      </w:r>
      <w:r w:rsidRPr="00DD682A">
        <w:rPr>
          <w:rFonts w:ascii="Arial" w:hAnsi="Arial" w:cs="Arial"/>
        </w:rPr>
        <w:t>Výsledkem je tak nadměrné využívání užšího okruhu hodnotitelů, kteří jsou schopni garantovat odpovídající kvalitu hodnocení</w:t>
      </w:r>
      <w:r w:rsidRPr="00C057B6">
        <w:rPr>
          <w:rFonts w:ascii="Arial" w:hAnsi="Arial" w:cs="Arial"/>
        </w:rPr>
        <w:t xml:space="preserve">. U menší části hodnotitelů přetrvává problém s jejich (ne)responzivitou, kdy žádným způsobem nereagují na výzvu k hodnocení. </w:t>
      </w:r>
      <w:r w:rsidR="00B84493" w:rsidRPr="00C057B6">
        <w:rPr>
          <w:rFonts w:ascii="Arial" w:hAnsi="Arial" w:cs="Arial"/>
        </w:rPr>
        <w:t>Panelisté zaznamenali nižší ochotu některých hodnotitelů podílet se na hodnocení a celkové zpoždění jejich práce spojené s pandemií Covid-19, zejména v důsledku kumulace pracovních a dalších povinností (např. spojených s péčí o děti).</w:t>
      </w:r>
      <w:r w:rsidR="00F519F3" w:rsidRPr="00C057B6">
        <w:rPr>
          <w:rFonts w:ascii="Arial" w:hAnsi="Arial" w:cs="Arial"/>
        </w:rPr>
        <w:t xml:space="preserve"> Bohužel </w:t>
      </w:r>
      <w:r w:rsidR="00B84493" w:rsidRPr="00C057B6">
        <w:rPr>
          <w:rFonts w:ascii="Arial" w:hAnsi="Arial" w:cs="Arial"/>
        </w:rPr>
        <w:t xml:space="preserve"> zejména </w:t>
      </w:r>
      <w:r w:rsidR="00F519F3" w:rsidRPr="00C057B6">
        <w:rPr>
          <w:rFonts w:ascii="Arial" w:hAnsi="Arial" w:cs="Arial"/>
        </w:rPr>
        <w:t>zahraniční hodnotitelé často nereag</w:t>
      </w:r>
      <w:r w:rsidR="00B84493" w:rsidRPr="00C057B6">
        <w:rPr>
          <w:rFonts w:ascii="Arial" w:hAnsi="Arial" w:cs="Arial"/>
        </w:rPr>
        <w:t>ovali</w:t>
      </w:r>
      <w:r w:rsidR="00F519F3" w:rsidRPr="00C057B6">
        <w:rPr>
          <w:rFonts w:ascii="Arial" w:hAnsi="Arial" w:cs="Arial"/>
        </w:rPr>
        <w:t xml:space="preserve"> a jejich termíny propad</w:t>
      </w:r>
      <w:r w:rsidR="00B84493" w:rsidRPr="00C057B6">
        <w:rPr>
          <w:rFonts w:ascii="Arial" w:hAnsi="Arial" w:cs="Arial"/>
        </w:rPr>
        <w:t>aly</w:t>
      </w:r>
      <w:r w:rsidR="00F519F3" w:rsidRPr="00C057B6">
        <w:rPr>
          <w:rFonts w:ascii="Arial" w:hAnsi="Arial" w:cs="Arial"/>
        </w:rPr>
        <w:t>.</w:t>
      </w:r>
      <w:r w:rsidR="001C4991" w:rsidRPr="00C057B6">
        <w:rPr>
          <w:rFonts w:ascii="Arial" w:hAnsi="Arial" w:cs="Arial"/>
        </w:rPr>
        <w:t xml:space="preserve"> Zvýšení efektivnosti procesu vzdáleného hodnocení by</w:t>
      </w:r>
      <w:r w:rsidR="00E3656E">
        <w:rPr>
          <w:rFonts w:ascii="Arial" w:hAnsi="Arial" w:cs="Arial"/>
        </w:rPr>
        <w:t> </w:t>
      </w:r>
      <w:r w:rsidR="001C4991" w:rsidRPr="00C057B6">
        <w:rPr>
          <w:rFonts w:ascii="Arial" w:hAnsi="Arial" w:cs="Arial"/>
        </w:rPr>
        <w:t>napomohlo ex ante prověření ochoty hodnotitelů figurujících v databázi spolupracovat, a</w:t>
      </w:r>
      <w:r w:rsidR="00E3656E">
        <w:rPr>
          <w:rFonts w:ascii="Arial" w:hAnsi="Arial" w:cs="Arial"/>
        </w:rPr>
        <w:t> </w:t>
      </w:r>
      <w:r w:rsidR="001C4991" w:rsidRPr="00C057B6">
        <w:rPr>
          <w:rFonts w:ascii="Arial" w:hAnsi="Arial" w:cs="Arial"/>
        </w:rPr>
        <w:t xml:space="preserve">případná dočasná deaktivace těch, kteří ochotu neprojeví.       </w:t>
      </w:r>
      <w:r w:rsidRPr="00C057B6">
        <w:rPr>
          <w:rFonts w:ascii="Arial" w:hAnsi="Arial" w:cs="Arial"/>
        </w:rPr>
        <w:t xml:space="preserve">  </w:t>
      </w:r>
    </w:p>
    <w:p w14:paraId="000D2C06" w14:textId="77777777" w:rsidR="00900CD8" w:rsidRPr="00C057B6" w:rsidRDefault="00900CD8" w:rsidP="00E3656E">
      <w:pPr>
        <w:jc w:val="both"/>
        <w:rPr>
          <w:rFonts w:ascii="Arial" w:hAnsi="Arial" w:cs="Arial"/>
        </w:rPr>
      </w:pPr>
      <w:r w:rsidRPr="00C057B6">
        <w:rPr>
          <w:rFonts w:ascii="Arial" w:hAnsi="Arial" w:cs="Arial"/>
        </w:rPr>
        <w:t>Vzorek vybraných hodnotitelů nadále rovnoměrně nepokrývá svým odborným zaměřením všechna témata přidělených výsledků.</w:t>
      </w:r>
      <w:r w:rsidR="001C4991" w:rsidRPr="00C057B6">
        <w:rPr>
          <w:rFonts w:ascii="Arial" w:hAnsi="Arial" w:cs="Arial"/>
        </w:rPr>
        <w:t xml:space="preserve"> Např. v některých </w:t>
      </w:r>
      <w:r w:rsidR="00B84493" w:rsidRPr="00C057B6">
        <w:rPr>
          <w:rFonts w:ascii="Arial" w:hAnsi="Arial" w:cs="Arial"/>
        </w:rPr>
        <w:t xml:space="preserve">právních </w:t>
      </w:r>
      <w:r w:rsidR="001C4991" w:rsidRPr="00C057B6">
        <w:rPr>
          <w:rFonts w:ascii="Arial" w:hAnsi="Arial" w:cs="Arial"/>
        </w:rPr>
        <w:t>vědních oborech chybí hodnotitelé, protože jsou v něm zastoupeni pouze hodnotitelé z jedné organizace, a poté není možné hodnotit výsledky</w:t>
      </w:r>
      <w:r w:rsidR="0060047A" w:rsidRPr="00C057B6">
        <w:rPr>
          <w:rFonts w:ascii="Arial" w:hAnsi="Arial" w:cs="Arial"/>
        </w:rPr>
        <w:t xml:space="preserve"> této organizace v daném </w:t>
      </w:r>
      <w:r w:rsidR="001C4991" w:rsidRPr="00C057B6">
        <w:rPr>
          <w:rFonts w:ascii="Arial" w:hAnsi="Arial" w:cs="Arial"/>
        </w:rPr>
        <w:t xml:space="preserve">oboru. </w:t>
      </w:r>
      <w:r w:rsidR="0060047A" w:rsidRPr="00C057B6">
        <w:rPr>
          <w:rFonts w:ascii="Arial" w:hAnsi="Arial" w:cs="Arial"/>
        </w:rPr>
        <w:t xml:space="preserve">Problematické je také získat hodnotitele pro výsledky psané v jiném než anglickém nebo českém jazyce. </w:t>
      </w:r>
      <w:r w:rsidR="001C4991" w:rsidRPr="00C057B6">
        <w:rPr>
          <w:rFonts w:ascii="Arial" w:hAnsi="Arial" w:cs="Arial"/>
        </w:rPr>
        <w:t>Pro příští rok proto bude navrhováno další doplnění hodnotitelů.</w:t>
      </w:r>
    </w:p>
    <w:p w14:paraId="145E8E64" w14:textId="77777777" w:rsidR="00900CD8" w:rsidRPr="00C057B6" w:rsidRDefault="00900CD8" w:rsidP="00900CD8">
      <w:pPr>
        <w:spacing w:after="0"/>
        <w:rPr>
          <w:rFonts w:ascii="Arial" w:hAnsi="Arial" w:cs="Arial"/>
        </w:rPr>
      </w:pPr>
    </w:p>
    <w:p w14:paraId="0A894C41" w14:textId="77777777" w:rsidR="00B75860" w:rsidRPr="00C057B6" w:rsidRDefault="00B75860" w:rsidP="00E1388E">
      <w:pPr>
        <w:pStyle w:val="Nadpis2"/>
        <w:rPr>
          <w:rFonts w:ascii="Arial" w:hAnsi="Arial" w:cs="Arial"/>
          <w:sz w:val="22"/>
          <w:szCs w:val="22"/>
        </w:rPr>
      </w:pPr>
      <w:r w:rsidRPr="00C057B6">
        <w:rPr>
          <w:rFonts w:ascii="Arial" w:hAnsi="Arial" w:cs="Arial"/>
          <w:sz w:val="22"/>
          <w:szCs w:val="22"/>
        </w:rPr>
        <w:t>Problémy a otázky</w:t>
      </w:r>
    </w:p>
    <w:p w14:paraId="503F040A" w14:textId="77777777" w:rsidR="00B75860" w:rsidRPr="00C057B6" w:rsidRDefault="00B75860" w:rsidP="00E3656E">
      <w:pPr>
        <w:jc w:val="both"/>
        <w:rPr>
          <w:rFonts w:ascii="Arial" w:hAnsi="Arial" w:cs="Arial"/>
        </w:rPr>
      </w:pPr>
      <w:r w:rsidRPr="00C057B6">
        <w:rPr>
          <w:rFonts w:ascii="Arial" w:hAnsi="Arial" w:cs="Arial"/>
          <w:i/>
        </w:rPr>
        <w:t>Kalibrace hodnotitelů</w:t>
      </w:r>
      <w:r w:rsidR="00F519F3" w:rsidRPr="00C057B6">
        <w:rPr>
          <w:rFonts w:ascii="Arial" w:hAnsi="Arial" w:cs="Arial"/>
          <w:i/>
        </w:rPr>
        <w:t>:</w:t>
      </w:r>
      <w:r w:rsidR="00F519F3" w:rsidRPr="00C057B6">
        <w:rPr>
          <w:rFonts w:ascii="Arial" w:hAnsi="Arial" w:cs="Arial"/>
        </w:rPr>
        <w:t xml:space="preserve"> Kalibrace hodnotitelů se sice </w:t>
      </w:r>
      <w:r w:rsidR="0060047A" w:rsidRPr="00C057B6">
        <w:rPr>
          <w:rFonts w:ascii="Arial" w:hAnsi="Arial" w:cs="Arial"/>
        </w:rPr>
        <w:t>zlepšuje</w:t>
      </w:r>
      <w:r w:rsidR="00F519F3" w:rsidRPr="00C057B6">
        <w:rPr>
          <w:rFonts w:ascii="Arial" w:hAnsi="Arial" w:cs="Arial"/>
        </w:rPr>
        <w:t xml:space="preserve">, ale stále není dokonalá, protože v některých málo případech se můžeme domnívat, že hodnotitel/ka byl velice </w:t>
      </w:r>
      <w:r w:rsidR="006B7E5A" w:rsidRPr="00C057B6">
        <w:rPr>
          <w:rFonts w:ascii="Arial" w:hAnsi="Arial" w:cs="Arial"/>
        </w:rPr>
        <w:t>přísný/á</w:t>
      </w:r>
      <w:r w:rsidR="00F519F3" w:rsidRPr="00C057B6">
        <w:rPr>
          <w:rFonts w:ascii="Arial" w:hAnsi="Arial" w:cs="Arial"/>
        </w:rPr>
        <w:t xml:space="preserve"> a</w:t>
      </w:r>
      <w:r w:rsidR="00E3656E">
        <w:rPr>
          <w:rFonts w:ascii="Arial" w:hAnsi="Arial" w:cs="Arial"/>
        </w:rPr>
        <w:t> </w:t>
      </w:r>
      <w:r w:rsidR="00F519F3" w:rsidRPr="00C057B6">
        <w:rPr>
          <w:rFonts w:ascii="Arial" w:hAnsi="Arial" w:cs="Arial"/>
        </w:rPr>
        <w:t>uplatnil/a stupnici hodnocení v jejím přísném znění. Někdy zase naopak, že zohlednil/a český hodnotící kontext a v důsledku hodnotil</w:t>
      </w:r>
      <w:r w:rsidR="0060047A" w:rsidRPr="00C057B6">
        <w:rPr>
          <w:rFonts w:ascii="Arial" w:hAnsi="Arial" w:cs="Arial"/>
        </w:rPr>
        <w:t>/a</w:t>
      </w:r>
      <w:r w:rsidR="00F519F3" w:rsidRPr="00C057B6">
        <w:rPr>
          <w:rFonts w:ascii="Arial" w:hAnsi="Arial" w:cs="Arial"/>
        </w:rPr>
        <w:t xml:space="preserve"> lépe. Chybné hodnocení či úmysl („poškodit“ či „pomoci“) nebývá explicitně průkazný. Problematičtější, respektive nejasné přetrvává zejména hodnocení společenské relevance. Určité školení hodnotitelů by pomohlo objektivizaci hodnocení.</w:t>
      </w:r>
    </w:p>
    <w:p w14:paraId="1C8AE4A5" w14:textId="77777777" w:rsidR="006D5142" w:rsidRPr="00C057B6" w:rsidRDefault="00B75860" w:rsidP="00E3656E">
      <w:pPr>
        <w:spacing w:after="0" w:line="240" w:lineRule="auto"/>
        <w:jc w:val="both"/>
        <w:rPr>
          <w:rFonts w:ascii="Arial" w:hAnsi="Arial" w:cs="Arial"/>
        </w:rPr>
      </w:pPr>
      <w:r w:rsidRPr="00C057B6">
        <w:rPr>
          <w:rFonts w:ascii="Arial" w:hAnsi="Arial" w:cs="Arial"/>
          <w:i/>
        </w:rPr>
        <w:lastRenderedPageBreak/>
        <w:t>Kvalita podkladů pro hodnocení dodávaných VO</w:t>
      </w:r>
      <w:r w:rsidR="00900CD8" w:rsidRPr="00C057B6">
        <w:rPr>
          <w:rFonts w:ascii="Arial" w:hAnsi="Arial" w:cs="Arial"/>
        </w:rPr>
        <w:t>: Opakuje se situace, kdy do systému je vložen pouze název výsledku, ale není možné se dostat k příslušnému textu</w:t>
      </w:r>
      <w:r w:rsidR="00C0262C" w:rsidRPr="00C057B6">
        <w:rPr>
          <w:rFonts w:ascii="Arial" w:hAnsi="Arial" w:cs="Arial"/>
        </w:rPr>
        <w:t xml:space="preserve"> (například ve</w:t>
      </w:r>
      <w:r w:rsidR="00E3656E">
        <w:rPr>
          <w:rFonts w:ascii="Arial" w:hAnsi="Arial" w:cs="Arial"/>
        </w:rPr>
        <w:t> </w:t>
      </w:r>
      <w:r w:rsidR="00C0262C" w:rsidRPr="00C057B6">
        <w:rPr>
          <w:rFonts w:ascii="Arial" w:hAnsi="Arial" w:cs="Arial"/>
        </w:rPr>
        <w:t xml:space="preserve">Fordu 5.9 u výsledků </w:t>
      </w:r>
      <w:r w:rsidR="0037534D" w:rsidRPr="00C057B6">
        <w:rPr>
          <w:rFonts w:ascii="Arial" w:hAnsi="Arial" w:cs="Arial"/>
        </w:rPr>
        <w:t>„</w:t>
      </w:r>
      <w:r w:rsidR="00C0262C" w:rsidRPr="00C057B6">
        <w:rPr>
          <w:rFonts w:ascii="Arial" w:eastAsia="Times New Roman" w:hAnsi="Arial" w:cs="Arial"/>
          <w:lang w:eastAsia="cs-CZ"/>
        </w:rPr>
        <w:t>Motivational Preferences of the Czech and Russian Blue-Collar Workers</w:t>
      </w:r>
      <w:r w:rsidR="0037534D" w:rsidRPr="00C057B6">
        <w:rPr>
          <w:rFonts w:ascii="Arial" w:eastAsia="Times New Roman" w:hAnsi="Arial" w:cs="Arial"/>
          <w:lang w:eastAsia="cs-CZ"/>
        </w:rPr>
        <w:t>“</w:t>
      </w:r>
      <w:r w:rsidR="00C0262C" w:rsidRPr="00C057B6">
        <w:rPr>
          <w:rFonts w:ascii="Arial" w:eastAsia="Times New Roman" w:hAnsi="Arial" w:cs="Arial"/>
          <w:lang w:eastAsia="cs-CZ"/>
        </w:rPr>
        <w:t xml:space="preserve"> - Univ. Tomáše Bati/Fakulta multimediálních komunikací; </w:t>
      </w:r>
      <w:r w:rsidR="0037534D" w:rsidRPr="00C057B6">
        <w:rPr>
          <w:rFonts w:ascii="Arial" w:eastAsia="Times New Roman" w:hAnsi="Arial" w:cs="Arial"/>
          <w:lang w:eastAsia="cs-CZ"/>
        </w:rPr>
        <w:t>„</w:t>
      </w:r>
      <w:r w:rsidR="00C0262C" w:rsidRPr="00C057B6">
        <w:rPr>
          <w:rFonts w:ascii="Arial" w:eastAsia="Times New Roman" w:hAnsi="Arial" w:cs="Arial"/>
          <w:lang w:eastAsia="cs-CZ"/>
        </w:rPr>
        <w:t>Metodika řízení práce prováděné formou home office</w:t>
      </w:r>
      <w:r w:rsidR="0037534D" w:rsidRPr="00C057B6">
        <w:rPr>
          <w:rFonts w:ascii="Arial" w:eastAsia="Times New Roman" w:hAnsi="Arial" w:cs="Arial"/>
          <w:lang w:eastAsia="cs-CZ"/>
        </w:rPr>
        <w:t>“</w:t>
      </w:r>
      <w:r w:rsidR="00C0262C" w:rsidRPr="00C057B6">
        <w:rPr>
          <w:rFonts w:ascii="Arial" w:eastAsia="Times New Roman" w:hAnsi="Arial" w:cs="Arial"/>
          <w:lang w:eastAsia="cs-CZ"/>
        </w:rPr>
        <w:t xml:space="preserve"> - Výzkumný ústav bezpečnosti práce; </w:t>
      </w:r>
      <w:r w:rsidR="0037534D" w:rsidRPr="00C057B6">
        <w:rPr>
          <w:rFonts w:ascii="Arial" w:eastAsia="Times New Roman" w:hAnsi="Arial" w:cs="Arial"/>
          <w:lang w:eastAsia="cs-CZ"/>
        </w:rPr>
        <w:t>„</w:t>
      </w:r>
      <w:r w:rsidR="00C0262C" w:rsidRPr="00C057B6">
        <w:rPr>
          <w:rFonts w:ascii="Arial" w:eastAsia="Times New Roman" w:hAnsi="Arial" w:cs="Arial"/>
          <w:lang w:eastAsia="cs-CZ"/>
        </w:rPr>
        <w:t>Sportovní pomůcka pro</w:t>
      </w:r>
      <w:r w:rsidR="00E3656E">
        <w:rPr>
          <w:rFonts w:ascii="Arial" w:eastAsia="Times New Roman" w:hAnsi="Arial" w:cs="Arial"/>
          <w:lang w:eastAsia="cs-CZ"/>
        </w:rPr>
        <w:t> </w:t>
      </w:r>
      <w:r w:rsidR="00C0262C" w:rsidRPr="00C057B6">
        <w:rPr>
          <w:rFonts w:ascii="Arial" w:eastAsia="Times New Roman" w:hAnsi="Arial" w:cs="Arial"/>
          <w:lang w:eastAsia="cs-CZ"/>
        </w:rPr>
        <w:t>běh</w:t>
      </w:r>
      <w:r w:rsidR="0037534D" w:rsidRPr="00C057B6">
        <w:rPr>
          <w:rFonts w:ascii="Arial" w:eastAsia="Times New Roman" w:hAnsi="Arial" w:cs="Arial"/>
          <w:lang w:eastAsia="cs-CZ"/>
        </w:rPr>
        <w:t>“</w:t>
      </w:r>
      <w:r w:rsidR="00C0262C" w:rsidRPr="00C057B6">
        <w:rPr>
          <w:rFonts w:ascii="Arial" w:eastAsia="Times New Roman" w:hAnsi="Arial" w:cs="Arial"/>
          <w:lang w:eastAsia="cs-CZ"/>
        </w:rPr>
        <w:t xml:space="preserve"> - CVASRI-vědecké a servisní pracoviště tělesné výchovy)</w:t>
      </w:r>
      <w:r w:rsidR="00900CD8" w:rsidRPr="00C057B6">
        <w:rPr>
          <w:rFonts w:ascii="Arial" w:hAnsi="Arial" w:cs="Arial"/>
        </w:rPr>
        <w:t xml:space="preserve">. </w:t>
      </w:r>
      <w:r w:rsidR="001C4991" w:rsidRPr="00C057B6">
        <w:rPr>
          <w:rFonts w:ascii="Arial" w:hAnsi="Arial" w:cs="Arial"/>
        </w:rPr>
        <w:t>V několika případech výzkumné organizace poskytly odkaz na úložiště, v němž buď nebyl výsledek bezplatně přístupný,</w:t>
      </w:r>
      <w:r w:rsidR="00C0262C" w:rsidRPr="00C057B6">
        <w:rPr>
          <w:rFonts w:ascii="Arial" w:hAnsi="Arial" w:cs="Arial"/>
        </w:rPr>
        <w:t xml:space="preserve"> nebo se nacházel výsledek jiný: např. výsledek „Hustota a ekonomika měst“ z ČVUT (Ford 5.7.). Někdy chybí publikace zcela: např. výsledek „Different courtyards“ z VUT Brno (Ford 5.7.). </w:t>
      </w:r>
      <w:r w:rsidR="00464DE9" w:rsidRPr="00C057B6">
        <w:rPr>
          <w:rFonts w:ascii="Arial" w:hAnsi="Arial" w:cs="Arial"/>
        </w:rPr>
        <w:t>Výzkumné organizace</w:t>
      </w:r>
      <w:r w:rsidR="00C0262C" w:rsidRPr="00C057B6">
        <w:rPr>
          <w:rFonts w:ascii="Arial" w:hAnsi="Arial" w:cs="Arial"/>
        </w:rPr>
        <w:t xml:space="preserve"> někdy uvádějí chybné údaje v anotacích: např. výsledek ČVUT „Sídliště“ je uveden jako článek (J), avšak jedná se o knihu. </w:t>
      </w:r>
      <w:r w:rsidR="00946C56" w:rsidRPr="00C057B6">
        <w:rPr>
          <w:rFonts w:ascii="Arial" w:hAnsi="Arial" w:cs="Arial"/>
        </w:rPr>
        <w:t>V jednom případě nebyl přiložený text definitivním publikovaným textem, obsahoval komentáře navrhující úpravy a</w:t>
      </w:r>
      <w:r w:rsidR="00E3656E">
        <w:rPr>
          <w:rFonts w:ascii="Arial" w:hAnsi="Arial" w:cs="Arial"/>
        </w:rPr>
        <w:t> </w:t>
      </w:r>
      <w:r w:rsidR="00946C56" w:rsidRPr="00C057B6">
        <w:rPr>
          <w:rFonts w:ascii="Arial" w:hAnsi="Arial" w:cs="Arial"/>
        </w:rPr>
        <w:t>komentáře autora, a nebylo zřejmé, kde byl text publikován (</w:t>
      </w:r>
      <w:r w:rsidR="00C0262C" w:rsidRPr="00C057B6">
        <w:rPr>
          <w:rFonts w:ascii="Arial" w:hAnsi="Arial" w:cs="Arial"/>
        </w:rPr>
        <w:t>výsledek „</w:t>
      </w:r>
      <w:r w:rsidR="00482546" w:rsidRPr="00C057B6">
        <w:rPr>
          <w:rFonts w:ascii="Arial" w:hAnsi="Arial" w:cs="Arial"/>
        </w:rPr>
        <w:t>Princip solidarity ve</w:t>
      </w:r>
      <w:r w:rsidR="00E3656E">
        <w:rPr>
          <w:rFonts w:ascii="Arial" w:hAnsi="Arial" w:cs="Arial"/>
        </w:rPr>
        <w:t> </w:t>
      </w:r>
      <w:r w:rsidR="00482546" w:rsidRPr="00C057B6">
        <w:rPr>
          <w:rFonts w:ascii="Arial" w:hAnsi="Arial" w:cs="Arial"/>
        </w:rPr>
        <w:t>financování služeb sociální péče v</w:t>
      </w:r>
      <w:r w:rsidR="00C0262C" w:rsidRPr="00C057B6">
        <w:rPr>
          <w:rFonts w:ascii="Arial" w:hAnsi="Arial" w:cs="Arial"/>
        </w:rPr>
        <w:t> </w:t>
      </w:r>
      <w:r w:rsidR="00482546" w:rsidRPr="00C057B6">
        <w:rPr>
          <w:rFonts w:ascii="Arial" w:hAnsi="Arial" w:cs="Arial"/>
        </w:rPr>
        <w:t>ČR</w:t>
      </w:r>
      <w:r w:rsidR="00C0262C" w:rsidRPr="00C057B6">
        <w:rPr>
          <w:rFonts w:ascii="Arial" w:hAnsi="Arial" w:cs="Arial"/>
        </w:rPr>
        <w:t>“ – Univerzita Karlova, Ford 5.4.</w:t>
      </w:r>
      <w:r w:rsidR="00482546" w:rsidRPr="00C057B6">
        <w:rPr>
          <w:rFonts w:ascii="Arial" w:hAnsi="Arial" w:cs="Arial"/>
        </w:rPr>
        <w:t>)</w:t>
      </w:r>
      <w:r w:rsidR="00946C56" w:rsidRPr="00C057B6">
        <w:rPr>
          <w:rFonts w:ascii="Arial" w:hAnsi="Arial" w:cs="Arial"/>
        </w:rPr>
        <w:t xml:space="preserve">. V </w:t>
      </w:r>
      <w:r w:rsidR="0060047A" w:rsidRPr="00C057B6">
        <w:rPr>
          <w:rFonts w:ascii="Arial" w:hAnsi="Arial" w:cs="Arial"/>
        </w:rPr>
        <w:t>jiném</w:t>
      </w:r>
      <w:r w:rsidR="00946C56" w:rsidRPr="00C057B6">
        <w:rPr>
          <w:rFonts w:ascii="Arial" w:hAnsi="Arial" w:cs="Arial"/>
        </w:rPr>
        <w:t xml:space="preserve"> případě se</w:t>
      </w:r>
      <w:r w:rsidR="00E3656E">
        <w:rPr>
          <w:rFonts w:ascii="Arial" w:hAnsi="Arial" w:cs="Arial"/>
        </w:rPr>
        <w:t> </w:t>
      </w:r>
      <w:r w:rsidR="00946C56" w:rsidRPr="00C057B6">
        <w:rPr>
          <w:rFonts w:ascii="Arial" w:hAnsi="Arial" w:cs="Arial"/>
        </w:rPr>
        <w:t>jednalo o uspořádání konference, přičemž k hodnocení byl k dispozici jen odkaz na webové stránky s programem konference, podle kterého nebylo možné posoudit její společenskou relevanci</w:t>
      </w:r>
      <w:r w:rsidR="006D5142" w:rsidRPr="00C057B6">
        <w:rPr>
          <w:rFonts w:ascii="Arial" w:hAnsi="Arial" w:cs="Arial"/>
        </w:rPr>
        <w:t>.</w:t>
      </w:r>
      <w:r w:rsidR="00464DE9" w:rsidRPr="00C057B6">
        <w:rPr>
          <w:rFonts w:ascii="Arial" w:hAnsi="Arial" w:cs="Arial"/>
        </w:rPr>
        <w:t xml:space="preserve"> Ačkoliv se jedná o zodpovědnost samotných výzkumných organizací, </w:t>
      </w:r>
      <w:r w:rsidR="00464DE9" w:rsidRPr="00DD682A">
        <w:rPr>
          <w:rFonts w:ascii="Arial" w:hAnsi="Arial" w:cs="Arial"/>
        </w:rPr>
        <w:t>byla by</w:t>
      </w:r>
      <w:r w:rsidR="00E3656E" w:rsidRPr="00DD682A">
        <w:rPr>
          <w:rFonts w:ascii="Arial" w:hAnsi="Arial" w:cs="Arial"/>
        </w:rPr>
        <w:t> </w:t>
      </w:r>
      <w:r w:rsidR="00464DE9" w:rsidRPr="00DD682A">
        <w:rPr>
          <w:rFonts w:ascii="Arial" w:hAnsi="Arial" w:cs="Arial"/>
        </w:rPr>
        <w:t>přínosná administrativní kontrola provedená před započetím procesu vzdáleného hodnocení.</w:t>
      </w:r>
    </w:p>
    <w:p w14:paraId="17725C9E" w14:textId="77777777" w:rsidR="00464DE9" w:rsidRPr="00C057B6" w:rsidRDefault="00464DE9" w:rsidP="00E3656E">
      <w:pPr>
        <w:spacing w:after="0" w:line="240" w:lineRule="auto"/>
        <w:jc w:val="both"/>
        <w:rPr>
          <w:rFonts w:ascii="Arial" w:hAnsi="Arial" w:cs="Arial"/>
        </w:rPr>
      </w:pPr>
    </w:p>
    <w:p w14:paraId="1957E89A" w14:textId="77777777" w:rsidR="00900CD8" w:rsidRPr="00C057B6" w:rsidRDefault="00B75860" w:rsidP="00E3656E">
      <w:pPr>
        <w:jc w:val="both"/>
        <w:rPr>
          <w:rFonts w:ascii="Arial" w:hAnsi="Arial" w:cs="Arial"/>
        </w:rPr>
      </w:pPr>
      <w:r w:rsidRPr="00C057B6">
        <w:rPr>
          <w:rFonts w:ascii="Arial" w:hAnsi="Arial" w:cs="Arial"/>
          <w:i/>
        </w:rPr>
        <w:t>Výběr kritéria hodnocení</w:t>
      </w:r>
      <w:r w:rsidR="00E06AC4" w:rsidRPr="00C057B6">
        <w:rPr>
          <w:rFonts w:ascii="Arial" w:hAnsi="Arial" w:cs="Arial"/>
          <w:i/>
        </w:rPr>
        <w:t xml:space="preserve"> ze strany VO</w:t>
      </w:r>
      <w:r w:rsidR="00900CD8" w:rsidRPr="00C057B6">
        <w:rPr>
          <w:rFonts w:ascii="Arial" w:hAnsi="Arial" w:cs="Arial"/>
        </w:rPr>
        <w:t xml:space="preserve">: V několika případech se stalo, že výsledek by byl lépe hodnocen, pokud by byl zařazen ve druhé z kategorií. </w:t>
      </w:r>
      <w:r w:rsidR="00946C56" w:rsidRPr="00C057B6">
        <w:rPr>
          <w:rFonts w:ascii="Arial" w:hAnsi="Arial" w:cs="Arial"/>
        </w:rPr>
        <w:t xml:space="preserve"> Výsledek přihlášený k hodnocení podle společenské relevance byl sice kvalitní, ale jeho společenský či ekonomický dopad nebyl zřejmý a nebyl dobře vyargumentován, což vedlo ke snížení hodnocení. T</w:t>
      </w:r>
      <w:r w:rsidR="00900CD8" w:rsidRPr="00C057B6">
        <w:rPr>
          <w:rFonts w:ascii="Arial" w:hAnsi="Arial" w:cs="Arial"/>
        </w:rPr>
        <w:t xml:space="preserve">akové zařazení </w:t>
      </w:r>
      <w:r w:rsidR="00946C56" w:rsidRPr="00C057B6">
        <w:rPr>
          <w:rFonts w:ascii="Arial" w:hAnsi="Arial" w:cs="Arial"/>
        </w:rPr>
        <w:t xml:space="preserve">ale nebylo </w:t>
      </w:r>
      <w:r w:rsidR="00900CD8" w:rsidRPr="00C057B6">
        <w:rPr>
          <w:rFonts w:ascii="Arial" w:hAnsi="Arial" w:cs="Arial"/>
        </w:rPr>
        <w:t>důvodem pro hodnocení výsledku jako podprůměrného.</w:t>
      </w:r>
      <w:r w:rsidR="00464DE9" w:rsidRPr="00C057B6">
        <w:rPr>
          <w:rFonts w:ascii="Arial" w:hAnsi="Arial" w:cs="Arial"/>
        </w:rPr>
        <w:t xml:space="preserve"> To se týká například výsledků „Fatherhood in a Changing Society: Shifts in Male Fertility Patterns“</w:t>
      </w:r>
      <w:r w:rsidR="003B1FB4" w:rsidRPr="00C057B6">
        <w:rPr>
          <w:rFonts w:ascii="Arial" w:hAnsi="Arial" w:cs="Arial"/>
        </w:rPr>
        <w:t xml:space="preserve"> a „Working Fathers and Childcare in the Czech Republic“</w:t>
      </w:r>
      <w:r w:rsidR="00464DE9" w:rsidRPr="00C057B6">
        <w:rPr>
          <w:rFonts w:ascii="Arial" w:hAnsi="Arial" w:cs="Arial"/>
        </w:rPr>
        <w:t xml:space="preserve"> </w:t>
      </w:r>
      <w:r w:rsidR="003B1FB4" w:rsidRPr="00C057B6">
        <w:rPr>
          <w:rFonts w:ascii="Arial" w:hAnsi="Arial" w:cs="Arial"/>
        </w:rPr>
        <w:t>– oba přihlášené</w:t>
      </w:r>
      <w:r w:rsidR="00464DE9" w:rsidRPr="00C057B6">
        <w:rPr>
          <w:rFonts w:ascii="Arial" w:hAnsi="Arial" w:cs="Arial"/>
        </w:rPr>
        <w:t xml:space="preserve"> VÚPSV</w:t>
      </w:r>
      <w:r w:rsidR="003B1FB4" w:rsidRPr="00C057B6">
        <w:rPr>
          <w:rFonts w:ascii="Arial" w:hAnsi="Arial" w:cs="Arial"/>
        </w:rPr>
        <w:t xml:space="preserve"> ve Fordu 5.4.</w:t>
      </w:r>
      <w:r w:rsidR="00E1388E" w:rsidRPr="00C057B6">
        <w:rPr>
          <w:rFonts w:ascii="Arial" w:hAnsi="Arial" w:cs="Arial"/>
        </w:rPr>
        <w:t xml:space="preserve"> V případě výsledku </w:t>
      </w:r>
      <w:r w:rsidR="003B1FB4" w:rsidRPr="00C057B6">
        <w:rPr>
          <w:rFonts w:ascii="Arial" w:hAnsi="Arial" w:cs="Arial"/>
        </w:rPr>
        <w:t>„</w:t>
      </w:r>
      <w:r w:rsidR="00E1388E" w:rsidRPr="00C057B6">
        <w:rPr>
          <w:rFonts w:ascii="Arial" w:hAnsi="Arial" w:cs="Arial"/>
        </w:rPr>
        <w:t>The Vory: Russia's Super Mafia</w:t>
      </w:r>
      <w:r w:rsidR="00E3656E">
        <w:rPr>
          <w:rFonts w:ascii="Arial" w:hAnsi="Arial" w:cs="Arial"/>
        </w:rPr>
        <w:t>“ (Ford 5.6</w:t>
      </w:r>
      <w:r w:rsidR="003B1FB4" w:rsidRPr="00C057B6">
        <w:rPr>
          <w:rFonts w:ascii="Arial" w:hAnsi="Arial" w:cs="Arial"/>
        </w:rPr>
        <w:t>)</w:t>
      </w:r>
      <w:r w:rsidR="00E1388E" w:rsidRPr="00C057B6">
        <w:rPr>
          <w:rFonts w:ascii="Arial" w:hAnsi="Arial" w:cs="Arial"/>
        </w:rPr>
        <w:t xml:space="preserve"> </w:t>
      </w:r>
      <w:r w:rsidR="00464DE9" w:rsidRPr="00C057B6">
        <w:rPr>
          <w:rFonts w:ascii="Arial" w:hAnsi="Arial" w:cs="Arial"/>
        </w:rPr>
        <w:t xml:space="preserve">dokonce </w:t>
      </w:r>
      <w:r w:rsidR="00E1388E" w:rsidRPr="00C057B6">
        <w:rPr>
          <w:rFonts w:ascii="Arial" w:hAnsi="Arial" w:cs="Arial"/>
        </w:rPr>
        <w:t>garant dospěl k závěru, že navzdory tomu, že došlo zřejmě omylem k jeho zařazení do kategorie společenské relevance, splňuje i v této kategorii nejvyšší kritéria, a hodnotil jej jako výsledek špičkový.</w:t>
      </w:r>
    </w:p>
    <w:p w14:paraId="5C830F32" w14:textId="77777777" w:rsidR="006D5142" w:rsidRPr="00C057B6" w:rsidRDefault="006F5AA6" w:rsidP="00E3656E">
      <w:pPr>
        <w:spacing w:line="256" w:lineRule="auto"/>
        <w:jc w:val="both"/>
        <w:rPr>
          <w:rFonts w:ascii="Arial" w:hAnsi="Arial" w:cs="Arial"/>
        </w:rPr>
      </w:pPr>
      <w:r w:rsidRPr="00C057B6">
        <w:rPr>
          <w:rFonts w:ascii="Arial" w:hAnsi="Arial" w:cs="Arial"/>
          <w:i/>
        </w:rPr>
        <w:t>Přihlašování jednoho výsledku dvěma VO</w:t>
      </w:r>
      <w:r w:rsidR="006D5142" w:rsidRPr="00C057B6">
        <w:rPr>
          <w:rFonts w:ascii="Arial" w:hAnsi="Arial" w:cs="Arial"/>
        </w:rPr>
        <w:t xml:space="preserve">: </w:t>
      </w:r>
      <w:r w:rsidR="00753093" w:rsidRPr="00C057B6">
        <w:rPr>
          <w:rFonts w:ascii="Arial" w:hAnsi="Arial" w:cs="Arial"/>
        </w:rPr>
        <w:t>Ve Ford</w:t>
      </w:r>
      <w:r w:rsidR="006D5142" w:rsidRPr="00C057B6">
        <w:rPr>
          <w:rFonts w:ascii="Arial" w:hAnsi="Arial" w:cs="Arial"/>
        </w:rPr>
        <w:t xml:space="preserve">u 5.7 byl identifikován problém nedostatečného vykazování spoluautorských podílů. Např. </w:t>
      </w:r>
      <w:r w:rsidR="00753093" w:rsidRPr="00C057B6">
        <w:rPr>
          <w:rFonts w:ascii="Arial" w:hAnsi="Arial" w:cs="Arial"/>
        </w:rPr>
        <w:t xml:space="preserve">J. </w:t>
      </w:r>
      <w:r w:rsidR="006D5142" w:rsidRPr="00C057B6">
        <w:rPr>
          <w:rFonts w:ascii="Arial" w:hAnsi="Arial" w:cs="Arial"/>
        </w:rPr>
        <w:t xml:space="preserve">Trojan z UTB Zlín jako jeden z mnoha autorů </w:t>
      </w:r>
      <w:r w:rsidR="00E1388E" w:rsidRPr="00C057B6">
        <w:rPr>
          <w:rFonts w:ascii="Arial" w:hAnsi="Arial" w:cs="Arial"/>
        </w:rPr>
        <w:t>vykázal</w:t>
      </w:r>
      <w:r w:rsidR="006D5142" w:rsidRPr="00C057B6">
        <w:rPr>
          <w:rFonts w:ascii="Arial" w:hAnsi="Arial" w:cs="Arial"/>
        </w:rPr>
        <w:t xml:space="preserve"> bez uvedení konkrétních spoluautorských podílů článek </w:t>
      </w:r>
      <w:r w:rsidR="0037534D" w:rsidRPr="00C057B6">
        <w:rPr>
          <w:rFonts w:ascii="Arial" w:hAnsi="Arial" w:cs="Arial"/>
        </w:rPr>
        <w:t>„</w:t>
      </w:r>
      <w:r w:rsidR="00753093" w:rsidRPr="00C057B6">
        <w:rPr>
          <w:rFonts w:ascii="Arial" w:hAnsi="Arial" w:cs="Arial"/>
        </w:rPr>
        <w:t>Re-reuse of</w:t>
      </w:r>
      <w:r w:rsidR="00E3656E">
        <w:rPr>
          <w:rFonts w:ascii="Arial" w:hAnsi="Arial" w:cs="Arial"/>
        </w:rPr>
        <w:t> </w:t>
      </w:r>
      <w:r w:rsidR="00753093" w:rsidRPr="00C057B6">
        <w:rPr>
          <w:rFonts w:ascii="Arial" w:hAnsi="Arial" w:cs="Arial"/>
        </w:rPr>
        <w:t>regenerated brownfields: Lessons from an Eastern European post-industrial city</w:t>
      </w:r>
      <w:r w:rsidR="0037534D" w:rsidRPr="00C057B6">
        <w:rPr>
          <w:rFonts w:ascii="Arial" w:hAnsi="Arial" w:cs="Arial"/>
        </w:rPr>
        <w:t>“</w:t>
      </w:r>
      <w:r w:rsidR="00753093" w:rsidRPr="00C057B6">
        <w:rPr>
          <w:rFonts w:ascii="Arial" w:hAnsi="Arial" w:cs="Arial"/>
        </w:rPr>
        <w:t xml:space="preserve"> (autorský tým čítá 7 osob)</w:t>
      </w:r>
      <w:r w:rsidR="006D5142" w:rsidRPr="00C057B6">
        <w:rPr>
          <w:rFonts w:ascii="Arial" w:hAnsi="Arial" w:cs="Arial"/>
        </w:rPr>
        <w:t xml:space="preserve">. Podobně VŠE </w:t>
      </w:r>
      <w:r w:rsidR="00E1388E" w:rsidRPr="00C057B6">
        <w:rPr>
          <w:rFonts w:ascii="Arial" w:hAnsi="Arial" w:cs="Arial"/>
        </w:rPr>
        <w:t>vykázal</w:t>
      </w:r>
      <w:r w:rsidR="00471C80" w:rsidRPr="00C057B6">
        <w:rPr>
          <w:rFonts w:ascii="Arial" w:hAnsi="Arial" w:cs="Arial"/>
        </w:rPr>
        <w:t>a</w:t>
      </w:r>
      <w:r w:rsidR="006D5142" w:rsidRPr="00C057B6">
        <w:rPr>
          <w:rFonts w:ascii="Arial" w:hAnsi="Arial" w:cs="Arial"/>
        </w:rPr>
        <w:t xml:space="preserve"> publikaci </w:t>
      </w:r>
      <w:r w:rsidR="0037534D" w:rsidRPr="00C057B6">
        <w:rPr>
          <w:rFonts w:ascii="Arial" w:hAnsi="Arial" w:cs="Arial"/>
        </w:rPr>
        <w:t>„</w:t>
      </w:r>
      <w:r w:rsidR="006D5142" w:rsidRPr="00C057B6">
        <w:rPr>
          <w:rFonts w:ascii="Arial" w:hAnsi="Arial" w:cs="Arial"/>
        </w:rPr>
        <w:t>Predicting the visual impact of onshore wind farms via landscape indices: A method for objectivizing planning and decision processes</w:t>
      </w:r>
      <w:r w:rsidR="0037534D" w:rsidRPr="00C057B6">
        <w:rPr>
          <w:rFonts w:ascii="Arial" w:hAnsi="Arial" w:cs="Arial"/>
        </w:rPr>
        <w:t>“</w:t>
      </w:r>
      <w:r w:rsidR="006D5142" w:rsidRPr="00C057B6">
        <w:rPr>
          <w:rFonts w:ascii="Arial" w:hAnsi="Arial" w:cs="Arial"/>
        </w:rPr>
        <w:t xml:space="preserve">, jejímiž autory jsou P. Sklenička (ČZU) </w:t>
      </w:r>
      <w:r w:rsidR="00E1388E" w:rsidRPr="00C057B6">
        <w:rPr>
          <w:rFonts w:ascii="Arial" w:hAnsi="Arial" w:cs="Arial"/>
        </w:rPr>
        <w:t>a J.</w:t>
      </w:r>
      <w:r w:rsidR="006D5142" w:rsidRPr="00C057B6">
        <w:rPr>
          <w:rFonts w:ascii="Arial" w:hAnsi="Arial" w:cs="Arial"/>
        </w:rPr>
        <w:t xml:space="preserve"> Z</w:t>
      </w:r>
      <w:r w:rsidR="00471C80" w:rsidRPr="00C057B6">
        <w:rPr>
          <w:rFonts w:ascii="Arial" w:hAnsi="Arial" w:cs="Arial"/>
        </w:rPr>
        <w:t xml:space="preserve">ouhar (ČZU i VŠE) jako výstup </w:t>
      </w:r>
      <w:r w:rsidR="006D5142" w:rsidRPr="00C057B6">
        <w:rPr>
          <w:rFonts w:ascii="Arial" w:hAnsi="Arial" w:cs="Arial"/>
        </w:rPr>
        <w:t xml:space="preserve">VŠE, </w:t>
      </w:r>
      <w:r w:rsidR="00E1388E" w:rsidRPr="00C057B6">
        <w:rPr>
          <w:rFonts w:ascii="Arial" w:hAnsi="Arial" w:cs="Arial"/>
        </w:rPr>
        <w:t xml:space="preserve">J. </w:t>
      </w:r>
      <w:r w:rsidR="006D5142" w:rsidRPr="00C057B6">
        <w:rPr>
          <w:rFonts w:ascii="Arial" w:hAnsi="Arial" w:cs="Arial"/>
        </w:rPr>
        <w:t>Zouhar je však afiliován jak k ČZ</w:t>
      </w:r>
      <w:r w:rsidR="00471C80" w:rsidRPr="00C057B6">
        <w:rPr>
          <w:rFonts w:ascii="Arial" w:hAnsi="Arial" w:cs="Arial"/>
        </w:rPr>
        <w:t>U, tak i k VŠE. Tato publikace byla</w:t>
      </w:r>
      <w:r w:rsidR="006D5142" w:rsidRPr="00C057B6">
        <w:rPr>
          <w:rFonts w:ascii="Arial" w:hAnsi="Arial" w:cs="Arial"/>
        </w:rPr>
        <w:t xml:space="preserve"> zároveň vykazována jako výsledek ČZU neb Sklenička i Zouhar jsou afiliováni k ČZU. Je však také podruhé vykazována VŠE, což je sporné a může být kvalifikováno jako pokus o podvod.</w:t>
      </w:r>
    </w:p>
    <w:p w14:paraId="2AEAD44C" w14:textId="77777777" w:rsidR="001C4991" w:rsidRPr="00C057B6" w:rsidRDefault="00B75860" w:rsidP="00E3656E">
      <w:pPr>
        <w:jc w:val="both"/>
        <w:rPr>
          <w:rFonts w:ascii="Arial" w:hAnsi="Arial" w:cs="Arial"/>
          <w:i/>
        </w:rPr>
      </w:pPr>
      <w:r w:rsidRPr="00C057B6">
        <w:rPr>
          <w:rFonts w:ascii="Arial" w:hAnsi="Arial" w:cs="Arial"/>
          <w:i/>
        </w:rPr>
        <w:t>Fungování aplikace SKV</w:t>
      </w:r>
      <w:r w:rsidR="001C4991" w:rsidRPr="00C057B6">
        <w:rPr>
          <w:rFonts w:ascii="Arial" w:hAnsi="Arial" w:cs="Arial"/>
          <w:i/>
        </w:rPr>
        <w:t xml:space="preserve"> - Náměty na zlepšení:</w:t>
      </w:r>
    </w:p>
    <w:p w14:paraId="0DDF2701" w14:textId="77777777" w:rsidR="001C4991" w:rsidRPr="00C057B6" w:rsidRDefault="001C4991" w:rsidP="00E3656E">
      <w:pPr>
        <w:pStyle w:val="Odstavecseseznamem"/>
        <w:numPr>
          <w:ilvl w:val="0"/>
          <w:numId w:val="3"/>
        </w:numPr>
        <w:spacing w:after="120" w:line="240" w:lineRule="auto"/>
        <w:jc w:val="both"/>
        <w:rPr>
          <w:rFonts w:ascii="Arial" w:hAnsi="Arial" w:cs="Arial"/>
        </w:rPr>
      </w:pPr>
      <w:r w:rsidRPr="00C057B6">
        <w:rPr>
          <w:rFonts w:ascii="Arial" w:hAnsi="Arial" w:cs="Arial"/>
        </w:rPr>
        <w:t>v souboru s  výsledky uvádět i sloupec, zda jde o výsledek v kategorii přínos k poznání, nebo společenská relevance,</w:t>
      </w:r>
    </w:p>
    <w:p w14:paraId="44E7F81A" w14:textId="77777777" w:rsidR="001C4991" w:rsidRPr="00C057B6" w:rsidRDefault="001C4991" w:rsidP="00E3656E">
      <w:pPr>
        <w:pStyle w:val="Odstavecseseznamem"/>
        <w:numPr>
          <w:ilvl w:val="0"/>
          <w:numId w:val="3"/>
        </w:numPr>
        <w:spacing w:after="120" w:line="240" w:lineRule="auto"/>
        <w:jc w:val="both"/>
        <w:rPr>
          <w:rFonts w:ascii="Arial" w:hAnsi="Arial" w:cs="Arial"/>
        </w:rPr>
      </w:pPr>
      <w:r w:rsidRPr="00C057B6">
        <w:rPr>
          <w:rFonts w:ascii="Arial" w:hAnsi="Arial" w:cs="Arial"/>
        </w:rPr>
        <w:t>doplnit možnost filtrování</w:t>
      </w:r>
      <w:r w:rsidR="00E1388E" w:rsidRPr="00C057B6">
        <w:rPr>
          <w:rFonts w:ascii="Arial" w:hAnsi="Arial" w:cs="Arial"/>
        </w:rPr>
        <w:t xml:space="preserve"> podle druhu výsledku</w:t>
      </w:r>
      <w:r w:rsidR="0037534D" w:rsidRPr="00C057B6">
        <w:rPr>
          <w:rFonts w:ascii="Arial" w:hAnsi="Arial" w:cs="Arial"/>
        </w:rPr>
        <w:t>,</w:t>
      </w:r>
    </w:p>
    <w:p w14:paraId="1225D3C4" w14:textId="77777777" w:rsidR="0037534D" w:rsidRPr="00C057B6" w:rsidRDefault="0037534D" w:rsidP="00E3656E">
      <w:pPr>
        <w:pStyle w:val="Odstavecseseznamem"/>
        <w:numPr>
          <w:ilvl w:val="0"/>
          <w:numId w:val="3"/>
        </w:numPr>
        <w:spacing w:after="120" w:line="240" w:lineRule="auto"/>
        <w:jc w:val="both"/>
        <w:rPr>
          <w:rFonts w:ascii="Arial" w:hAnsi="Arial" w:cs="Arial"/>
        </w:rPr>
      </w:pPr>
      <w:r w:rsidRPr="00C057B6">
        <w:rPr>
          <w:rFonts w:ascii="Arial" w:hAnsi="Arial" w:cs="Arial"/>
        </w:rPr>
        <w:t>doplnit pro garanty možnost změnit závěrečnou známku i v případě, že oba hodnotitelé se shodli na jiné známce, aby nebylo nutné řešit tuto situaci přímo s administrátorem systému.</w:t>
      </w:r>
    </w:p>
    <w:p w14:paraId="5039C345" w14:textId="77777777" w:rsidR="00E1388E" w:rsidRPr="00C057B6" w:rsidRDefault="00C71B31" w:rsidP="00EE7B93">
      <w:pPr>
        <w:pStyle w:val="Nadpis2"/>
        <w:rPr>
          <w:rFonts w:ascii="Arial" w:hAnsi="Arial" w:cs="Arial"/>
          <w:sz w:val="22"/>
          <w:szCs w:val="22"/>
        </w:rPr>
      </w:pPr>
      <w:r w:rsidRPr="00C057B6">
        <w:rPr>
          <w:rFonts w:ascii="Arial" w:hAnsi="Arial" w:cs="Arial"/>
          <w:sz w:val="22"/>
          <w:szCs w:val="22"/>
        </w:rPr>
        <w:t>English Summary:</w:t>
      </w:r>
    </w:p>
    <w:p w14:paraId="53050954" w14:textId="77777777" w:rsidR="00A5660C" w:rsidRPr="00C057B6" w:rsidRDefault="00A5660C" w:rsidP="00E3656E">
      <w:pPr>
        <w:spacing w:after="0" w:line="240" w:lineRule="auto"/>
        <w:jc w:val="both"/>
        <w:rPr>
          <w:rFonts w:ascii="Arial" w:hAnsi="Arial" w:cs="Arial"/>
          <w:lang w:val="en-GB"/>
        </w:rPr>
      </w:pPr>
      <w:r w:rsidRPr="00C057B6">
        <w:rPr>
          <w:rFonts w:ascii="Arial" w:hAnsi="Arial" w:cs="Arial"/>
        </w:rPr>
        <w:t>A</w:t>
      </w:r>
      <w:r w:rsidRPr="00C057B6">
        <w:rPr>
          <w:rFonts w:ascii="Arial" w:hAnsi="Arial" w:cs="Arial"/>
          <w:lang w:val="en-GB"/>
        </w:rPr>
        <w:t xml:space="preserve"> total of 400 results were evaluated in Panel 5 - Social Sciences</w:t>
      </w:r>
      <w:r w:rsidR="00EE7B93" w:rsidRPr="00C057B6">
        <w:rPr>
          <w:rFonts w:ascii="Arial" w:hAnsi="Arial" w:cs="Arial"/>
          <w:lang w:val="en-GB"/>
        </w:rPr>
        <w:t xml:space="preserve"> (three of them</w:t>
      </w:r>
      <w:r w:rsidRPr="00C057B6">
        <w:rPr>
          <w:rFonts w:ascii="Arial" w:hAnsi="Arial" w:cs="Arial"/>
          <w:lang w:val="en-GB"/>
        </w:rPr>
        <w:t xml:space="preserve"> were reported twice by different </w:t>
      </w:r>
      <w:r w:rsidR="00EE7B93" w:rsidRPr="00C057B6">
        <w:rPr>
          <w:rFonts w:ascii="Arial" w:hAnsi="Arial" w:cs="Arial"/>
          <w:lang w:val="en-GB"/>
        </w:rPr>
        <w:t xml:space="preserve">Research Organisations, </w:t>
      </w:r>
      <w:r w:rsidRPr="00C057B6">
        <w:rPr>
          <w:rFonts w:ascii="Arial" w:hAnsi="Arial" w:cs="Arial"/>
          <w:lang w:val="en-GB"/>
        </w:rPr>
        <w:t>ie a total of 397 results</w:t>
      </w:r>
      <w:r w:rsidR="00EE7B93" w:rsidRPr="00C057B6">
        <w:rPr>
          <w:rFonts w:ascii="Arial" w:hAnsi="Arial" w:cs="Arial"/>
          <w:lang w:val="en-GB"/>
        </w:rPr>
        <w:t xml:space="preserve"> were evaluated)</w:t>
      </w:r>
      <w:r w:rsidRPr="00C057B6">
        <w:rPr>
          <w:rFonts w:ascii="Arial" w:hAnsi="Arial" w:cs="Arial"/>
          <w:lang w:val="en-GB"/>
        </w:rPr>
        <w:t>. Regard</w:t>
      </w:r>
      <w:r w:rsidR="00EE7B93" w:rsidRPr="00C057B6">
        <w:rPr>
          <w:rFonts w:ascii="Arial" w:hAnsi="Arial" w:cs="Arial"/>
          <w:lang w:val="en-GB"/>
        </w:rPr>
        <w:t>ing the</w:t>
      </w:r>
      <w:r w:rsidR="00471C80" w:rsidRPr="00C057B6">
        <w:rPr>
          <w:rFonts w:ascii="Arial" w:hAnsi="Arial" w:cs="Arial"/>
          <w:lang w:val="en-GB"/>
        </w:rPr>
        <w:t xml:space="preserve"> evaluation</w:t>
      </w:r>
      <w:r w:rsidR="00EE7B93" w:rsidRPr="00C057B6">
        <w:rPr>
          <w:rFonts w:ascii="Arial" w:hAnsi="Arial" w:cs="Arial"/>
          <w:lang w:val="en-GB"/>
        </w:rPr>
        <w:t xml:space="preserve"> results</w:t>
      </w:r>
      <w:r w:rsidRPr="00C057B6">
        <w:rPr>
          <w:rFonts w:ascii="Arial" w:hAnsi="Arial" w:cs="Arial"/>
          <w:lang w:val="en-GB"/>
        </w:rPr>
        <w:t xml:space="preserve">, there were significant differences between the subfields. Ford 5.9 </w:t>
      </w:r>
      <w:r w:rsidR="00EE7B93" w:rsidRPr="00C057B6">
        <w:rPr>
          <w:rFonts w:ascii="Arial" w:hAnsi="Arial" w:cs="Arial"/>
          <w:lang w:val="en-GB"/>
        </w:rPr>
        <w:t xml:space="preserve">Other </w:t>
      </w:r>
      <w:r w:rsidR="00EE7B93" w:rsidRPr="00C057B6">
        <w:rPr>
          <w:rFonts w:ascii="Arial" w:hAnsi="Arial" w:cs="Arial"/>
          <w:lang w:val="en-GB"/>
        </w:rPr>
        <w:lastRenderedPageBreak/>
        <w:t xml:space="preserve">Social Sciences </w:t>
      </w:r>
      <w:r w:rsidRPr="00C057B6">
        <w:rPr>
          <w:rFonts w:ascii="Arial" w:hAnsi="Arial" w:cs="Arial"/>
          <w:lang w:val="en-GB"/>
        </w:rPr>
        <w:t xml:space="preserve">stood out negatively; half of the submitted 20 results were evaluated as below average. On the contrary, Ford 5.7 </w:t>
      </w:r>
      <w:r w:rsidR="00EE7B93" w:rsidRPr="00C057B6">
        <w:rPr>
          <w:rFonts w:ascii="Arial" w:hAnsi="Arial" w:cs="Arial"/>
          <w:lang w:val="en-GB"/>
        </w:rPr>
        <w:t>Social and Economic Geography reported the best results</w:t>
      </w:r>
      <w:r w:rsidR="00DC3992" w:rsidRPr="00C057B6">
        <w:rPr>
          <w:rFonts w:ascii="Arial" w:hAnsi="Arial" w:cs="Arial"/>
          <w:lang w:val="en-GB"/>
        </w:rPr>
        <w:t xml:space="preserve"> on average</w:t>
      </w:r>
      <w:r w:rsidRPr="00C057B6">
        <w:rPr>
          <w:rFonts w:ascii="Arial" w:hAnsi="Arial" w:cs="Arial"/>
          <w:lang w:val="en-GB"/>
        </w:rPr>
        <w:t xml:space="preserve">, where the average </w:t>
      </w:r>
      <w:r w:rsidR="00EE7B93" w:rsidRPr="00C057B6">
        <w:rPr>
          <w:rFonts w:ascii="Arial" w:hAnsi="Arial" w:cs="Arial"/>
          <w:lang w:val="en-GB"/>
        </w:rPr>
        <w:t>grade</w:t>
      </w:r>
      <w:r w:rsidRPr="00C057B6">
        <w:rPr>
          <w:rFonts w:ascii="Arial" w:hAnsi="Arial" w:cs="Arial"/>
          <w:lang w:val="en-GB"/>
        </w:rPr>
        <w:t xml:space="preserve"> reached 2.56. In other Fords it was slightly below 3. </w:t>
      </w:r>
      <w:r w:rsidR="00DC3992" w:rsidRPr="00C057B6">
        <w:rPr>
          <w:rFonts w:ascii="Arial" w:hAnsi="Arial" w:cs="Arial"/>
          <w:lang w:val="en-GB"/>
        </w:rPr>
        <w:t>The</w:t>
      </w:r>
      <w:r w:rsidR="00E3656E">
        <w:rPr>
          <w:rFonts w:ascii="Arial" w:hAnsi="Arial" w:cs="Arial"/>
          <w:lang w:val="en-GB"/>
        </w:rPr>
        <w:t> </w:t>
      </w:r>
      <w:r w:rsidR="00DC3992" w:rsidRPr="00C057B6">
        <w:rPr>
          <w:rFonts w:ascii="Arial" w:hAnsi="Arial" w:cs="Arial"/>
          <w:lang w:val="en-GB"/>
        </w:rPr>
        <w:t xml:space="preserve">Fords 5.2. Economy and Business and 5.6. Political Science reported the highest number of world-leading results. </w:t>
      </w:r>
      <w:r w:rsidRPr="00C057B6">
        <w:rPr>
          <w:rFonts w:ascii="Arial" w:hAnsi="Arial" w:cs="Arial"/>
          <w:lang w:val="en-GB"/>
        </w:rPr>
        <w:t xml:space="preserve">The results rated as world-leading were mostly </w:t>
      </w:r>
      <w:r w:rsidR="00EE7B93" w:rsidRPr="00C057B6">
        <w:rPr>
          <w:rFonts w:ascii="Arial" w:hAnsi="Arial" w:cs="Arial"/>
          <w:lang w:val="en-GB"/>
        </w:rPr>
        <w:t>from the category of</w:t>
      </w:r>
      <w:r w:rsidR="00E3656E">
        <w:rPr>
          <w:rFonts w:ascii="Arial" w:hAnsi="Arial" w:cs="Arial"/>
          <w:lang w:val="en-GB"/>
        </w:rPr>
        <w:t> </w:t>
      </w:r>
      <w:r w:rsidRPr="00C057B6">
        <w:rPr>
          <w:rFonts w:ascii="Arial" w:hAnsi="Arial" w:cs="Arial"/>
          <w:lang w:val="en-GB"/>
        </w:rPr>
        <w:t xml:space="preserve">bibliometrized </w:t>
      </w:r>
      <w:r w:rsidR="00EE7B93" w:rsidRPr="00C057B6">
        <w:rPr>
          <w:rFonts w:ascii="Arial" w:hAnsi="Arial" w:cs="Arial"/>
          <w:lang w:val="en-GB"/>
        </w:rPr>
        <w:t xml:space="preserve">publications </w:t>
      </w:r>
      <w:r w:rsidRPr="00C057B6">
        <w:rPr>
          <w:rFonts w:ascii="Arial" w:hAnsi="Arial" w:cs="Arial"/>
          <w:lang w:val="en-GB"/>
        </w:rPr>
        <w:t xml:space="preserve">- articles published in prestigious journals falling under </w:t>
      </w:r>
      <w:r w:rsidR="00EE7B93" w:rsidRPr="00C057B6">
        <w:rPr>
          <w:rFonts w:ascii="Arial" w:hAnsi="Arial" w:cs="Arial"/>
          <w:lang w:val="en-GB"/>
        </w:rPr>
        <w:t>first</w:t>
      </w:r>
      <w:r w:rsidRPr="00C057B6">
        <w:rPr>
          <w:rFonts w:ascii="Arial" w:hAnsi="Arial" w:cs="Arial"/>
          <w:lang w:val="en-GB"/>
        </w:rPr>
        <w:t xml:space="preserve">, exceptionally </w:t>
      </w:r>
      <w:r w:rsidR="00EE7B93" w:rsidRPr="00C057B6">
        <w:rPr>
          <w:rFonts w:ascii="Arial" w:hAnsi="Arial" w:cs="Arial"/>
          <w:lang w:val="en-GB"/>
        </w:rPr>
        <w:t>second quartile</w:t>
      </w:r>
      <w:r w:rsidRPr="00C057B6">
        <w:rPr>
          <w:rFonts w:ascii="Arial" w:hAnsi="Arial" w:cs="Arial"/>
          <w:lang w:val="en-GB"/>
        </w:rPr>
        <w:t>. Only in five cases out of a total of 20</w:t>
      </w:r>
      <w:r w:rsidR="00EE7B93" w:rsidRPr="00C057B6">
        <w:rPr>
          <w:rFonts w:ascii="Arial" w:hAnsi="Arial" w:cs="Arial"/>
          <w:lang w:val="en-GB"/>
        </w:rPr>
        <w:t xml:space="preserve">, the world-leading results </w:t>
      </w:r>
      <w:r w:rsidRPr="00C057B6">
        <w:rPr>
          <w:rFonts w:ascii="Arial" w:hAnsi="Arial" w:cs="Arial"/>
          <w:lang w:val="en-GB"/>
        </w:rPr>
        <w:t>were monographs, in all cases published by prestigious international publishers and written in</w:t>
      </w:r>
      <w:r w:rsidR="00E3656E">
        <w:rPr>
          <w:rFonts w:ascii="Arial" w:hAnsi="Arial" w:cs="Arial"/>
          <w:lang w:val="en-GB"/>
        </w:rPr>
        <w:t> </w:t>
      </w:r>
      <w:r w:rsidRPr="00C057B6">
        <w:rPr>
          <w:rFonts w:ascii="Arial" w:hAnsi="Arial" w:cs="Arial"/>
          <w:lang w:val="en-GB"/>
        </w:rPr>
        <w:t xml:space="preserve">English, and in one </w:t>
      </w:r>
      <w:r w:rsidR="00EE7B93" w:rsidRPr="00C057B6">
        <w:rPr>
          <w:rFonts w:ascii="Arial" w:hAnsi="Arial" w:cs="Arial"/>
          <w:lang w:val="en-GB"/>
        </w:rPr>
        <w:t>case</w:t>
      </w:r>
      <w:r w:rsidRPr="00C057B6">
        <w:rPr>
          <w:rFonts w:ascii="Arial" w:hAnsi="Arial" w:cs="Arial"/>
          <w:lang w:val="en-GB"/>
        </w:rPr>
        <w:t xml:space="preserve"> it was a chapter. Compared to last year</w:t>
      </w:r>
      <w:r w:rsidR="00EE7B93" w:rsidRPr="00C057B6">
        <w:rPr>
          <w:rFonts w:ascii="Arial" w:hAnsi="Arial" w:cs="Arial"/>
          <w:lang w:val="en-GB"/>
        </w:rPr>
        <w:t xml:space="preserve"> of evaluation</w:t>
      </w:r>
      <w:r w:rsidRPr="00C057B6">
        <w:rPr>
          <w:rFonts w:ascii="Arial" w:hAnsi="Arial" w:cs="Arial"/>
          <w:lang w:val="en-GB"/>
        </w:rPr>
        <w:t xml:space="preserve">, when 2.6% of the results were rated as </w:t>
      </w:r>
      <w:r w:rsidR="00EE7B93" w:rsidRPr="00C057B6">
        <w:rPr>
          <w:rFonts w:ascii="Arial" w:hAnsi="Arial" w:cs="Arial"/>
          <w:lang w:val="en-GB"/>
        </w:rPr>
        <w:t>world-leading</w:t>
      </w:r>
      <w:r w:rsidRPr="00C057B6">
        <w:rPr>
          <w:rFonts w:ascii="Arial" w:hAnsi="Arial" w:cs="Arial"/>
          <w:lang w:val="en-GB"/>
        </w:rPr>
        <w:t>, there was a relatively significant increase to 5%</w:t>
      </w:r>
      <w:r w:rsidR="00EE7B93" w:rsidRPr="00C057B6">
        <w:rPr>
          <w:rFonts w:ascii="Arial" w:hAnsi="Arial" w:cs="Arial"/>
          <w:lang w:val="en-GB"/>
        </w:rPr>
        <w:t xml:space="preserve"> of</w:t>
      </w:r>
      <w:r w:rsidR="00E3656E">
        <w:rPr>
          <w:rFonts w:ascii="Arial" w:hAnsi="Arial" w:cs="Arial"/>
          <w:lang w:val="en-GB"/>
        </w:rPr>
        <w:t> </w:t>
      </w:r>
      <w:r w:rsidR="00EE7B93" w:rsidRPr="00C057B6">
        <w:rPr>
          <w:rFonts w:ascii="Arial" w:hAnsi="Arial" w:cs="Arial"/>
          <w:lang w:val="en-GB"/>
        </w:rPr>
        <w:t>results rated as world-leading</w:t>
      </w:r>
      <w:r w:rsidRPr="00C057B6">
        <w:rPr>
          <w:rFonts w:ascii="Arial" w:hAnsi="Arial" w:cs="Arial"/>
          <w:lang w:val="en-GB"/>
        </w:rPr>
        <w:t>. In terms of excellent results</w:t>
      </w:r>
      <w:r w:rsidR="00EE7B93" w:rsidRPr="00C057B6">
        <w:rPr>
          <w:rFonts w:ascii="Arial" w:hAnsi="Arial" w:cs="Arial"/>
          <w:lang w:val="en-GB"/>
        </w:rPr>
        <w:t xml:space="preserve"> (grade 2)</w:t>
      </w:r>
      <w:r w:rsidRPr="00C057B6">
        <w:rPr>
          <w:rFonts w:ascii="Arial" w:hAnsi="Arial" w:cs="Arial"/>
          <w:lang w:val="en-GB"/>
        </w:rPr>
        <w:t xml:space="preserve">, it increased from 13.8% to 18%. The reason </w:t>
      </w:r>
      <w:r w:rsidR="00EE7B93" w:rsidRPr="00C057B6">
        <w:rPr>
          <w:rFonts w:ascii="Arial" w:hAnsi="Arial" w:cs="Arial"/>
          <w:lang w:val="en-GB"/>
        </w:rPr>
        <w:t xml:space="preserve">to it </w:t>
      </w:r>
      <w:r w:rsidRPr="00C057B6">
        <w:rPr>
          <w:rFonts w:ascii="Arial" w:hAnsi="Arial" w:cs="Arial"/>
          <w:lang w:val="en-GB"/>
        </w:rPr>
        <w:t xml:space="preserve">is probably the </w:t>
      </w:r>
      <w:r w:rsidR="00EE7B93" w:rsidRPr="00C057B6">
        <w:rPr>
          <w:rFonts w:ascii="Arial" w:hAnsi="Arial" w:cs="Arial"/>
          <w:lang w:val="en-GB"/>
        </w:rPr>
        <w:t xml:space="preserve">newly established </w:t>
      </w:r>
      <w:r w:rsidRPr="00C057B6">
        <w:rPr>
          <w:rFonts w:ascii="Arial" w:hAnsi="Arial" w:cs="Arial"/>
          <w:lang w:val="en-GB"/>
        </w:rPr>
        <w:t>po</w:t>
      </w:r>
      <w:r w:rsidR="00EE7B93" w:rsidRPr="00C057B6">
        <w:rPr>
          <w:rFonts w:ascii="Arial" w:hAnsi="Arial" w:cs="Arial"/>
          <w:lang w:val="en-GB"/>
        </w:rPr>
        <w:t>ssibility to submit bibliometrized results to this</w:t>
      </w:r>
      <w:r w:rsidRPr="00C057B6">
        <w:rPr>
          <w:rFonts w:ascii="Arial" w:hAnsi="Arial" w:cs="Arial"/>
          <w:lang w:val="en-GB"/>
        </w:rPr>
        <w:t xml:space="preserve"> evaluation</w:t>
      </w:r>
      <w:r w:rsidR="00EE7B93" w:rsidRPr="00C057B6">
        <w:rPr>
          <w:rFonts w:ascii="Arial" w:hAnsi="Arial" w:cs="Arial"/>
          <w:lang w:val="en-GB"/>
        </w:rPr>
        <w:t xml:space="preserve"> Modul</w:t>
      </w:r>
      <w:r w:rsidRPr="00C057B6">
        <w:rPr>
          <w:rFonts w:ascii="Arial" w:hAnsi="Arial" w:cs="Arial"/>
          <w:lang w:val="en-GB"/>
        </w:rPr>
        <w:t>. A total of 58, ie 16.5% of the results were evaluated as below average, which is a slightly higher share than last year (14.2%). A</w:t>
      </w:r>
      <w:r w:rsidR="00E3656E">
        <w:rPr>
          <w:rFonts w:ascii="Arial" w:hAnsi="Arial" w:cs="Arial"/>
          <w:lang w:val="en-GB"/>
        </w:rPr>
        <w:t> </w:t>
      </w:r>
      <w:r w:rsidRPr="00C057B6">
        <w:rPr>
          <w:rFonts w:ascii="Arial" w:hAnsi="Arial" w:cs="Arial"/>
          <w:lang w:val="en-GB"/>
        </w:rPr>
        <w:t xml:space="preserve">significant part (43%) were results that were not </w:t>
      </w:r>
      <w:r w:rsidR="00EE7B93" w:rsidRPr="00C057B6">
        <w:rPr>
          <w:rFonts w:ascii="Arial" w:hAnsi="Arial" w:cs="Arial"/>
          <w:lang w:val="en-GB"/>
        </w:rPr>
        <w:t xml:space="preserve">even </w:t>
      </w:r>
      <w:r w:rsidRPr="00C057B6">
        <w:rPr>
          <w:rFonts w:ascii="Arial" w:hAnsi="Arial" w:cs="Arial"/>
          <w:lang w:val="en-GB"/>
        </w:rPr>
        <w:t xml:space="preserve">sent to </w:t>
      </w:r>
      <w:r w:rsidR="00EE7B93" w:rsidRPr="00C057B6">
        <w:rPr>
          <w:rFonts w:ascii="Arial" w:hAnsi="Arial" w:cs="Arial"/>
          <w:lang w:val="en-GB"/>
        </w:rPr>
        <w:t>peer-</w:t>
      </w:r>
      <w:r w:rsidRPr="00C057B6">
        <w:rPr>
          <w:rFonts w:ascii="Arial" w:hAnsi="Arial" w:cs="Arial"/>
          <w:lang w:val="en-GB"/>
        </w:rPr>
        <w:t>reviewers and were evaluated as below average directly by the guarantor. The average evaluation according to</w:t>
      </w:r>
      <w:r w:rsidR="00E3656E">
        <w:rPr>
          <w:rFonts w:ascii="Arial" w:hAnsi="Arial" w:cs="Arial"/>
          <w:lang w:val="en-GB"/>
        </w:rPr>
        <w:t> </w:t>
      </w:r>
      <w:r w:rsidRPr="00C057B6">
        <w:rPr>
          <w:rFonts w:ascii="Arial" w:hAnsi="Arial" w:cs="Arial"/>
          <w:lang w:val="en-GB"/>
        </w:rPr>
        <w:t>the</w:t>
      </w:r>
      <w:r w:rsidR="00E3656E">
        <w:rPr>
          <w:rFonts w:ascii="Arial" w:hAnsi="Arial" w:cs="Arial"/>
          <w:lang w:val="en-GB"/>
        </w:rPr>
        <w:t> </w:t>
      </w:r>
      <w:r w:rsidRPr="00C057B6">
        <w:rPr>
          <w:rFonts w:ascii="Arial" w:hAnsi="Arial" w:cs="Arial"/>
          <w:lang w:val="en-GB"/>
        </w:rPr>
        <w:t xml:space="preserve">criterion of contribution to </w:t>
      </w:r>
      <w:r w:rsidR="00EE7B93" w:rsidRPr="00C057B6">
        <w:rPr>
          <w:rFonts w:ascii="Arial" w:hAnsi="Arial" w:cs="Arial"/>
          <w:lang w:val="en-GB"/>
        </w:rPr>
        <w:t>knowledge</w:t>
      </w:r>
      <w:r w:rsidRPr="00C057B6">
        <w:rPr>
          <w:rFonts w:ascii="Arial" w:hAnsi="Arial" w:cs="Arial"/>
          <w:lang w:val="en-GB"/>
        </w:rPr>
        <w:t xml:space="preserve"> was 2.9</w:t>
      </w:r>
      <w:r w:rsidR="00EE7B93" w:rsidRPr="00C057B6">
        <w:rPr>
          <w:rFonts w:ascii="Arial" w:hAnsi="Arial" w:cs="Arial"/>
          <w:lang w:val="en-GB"/>
        </w:rPr>
        <w:t>,</w:t>
      </w:r>
      <w:r w:rsidRPr="00C057B6">
        <w:rPr>
          <w:rFonts w:ascii="Arial" w:hAnsi="Arial" w:cs="Arial"/>
          <w:lang w:val="en-GB"/>
        </w:rPr>
        <w:t xml:space="preserve"> and according to the criterion of social relevance 3.7. For all Fords, the average rating in terms of social relevance was worse than in</w:t>
      </w:r>
      <w:r w:rsidR="00E3656E">
        <w:rPr>
          <w:rFonts w:ascii="Arial" w:hAnsi="Arial" w:cs="Arial"/>
          <w:lang w:val="en-GB"/>
        </w:rPr>
        <w:t> </w:t>
      </w:r>
      <w:r w:rsidRPr="00C057B6">
        <w:rPr>
          <w:rFonts w:ascii="Arial" w:hAnsi="Arial" w:cs="Arial"/>
          <w:lang w:val="en-GB"/>
        </w:rPr>
        <w:t xml:space="preserve">terms of contribution to </w:t>
      </w:r>
      <w:r w:rsidR="00EE7B93" w:rsidRPr="00C057B6">
        <w:rPr>
          <w:rFonts w:ascii="Arial" w:hAnsi="Arial" w:cs="Arial"/>
          <w:lang w:val="en-GB"/>
        </w:rPr>
        <w:t>knowledge</w:t>
      </w:r>
      <w:r w:rsidRPr="00C057B6">
        <w:rPr>
          <w:rFonts w:ascii="Arial" w:hAnsi="Arial" w:cs="Arial"/>
          <w:lang w:val="en-GB"/>
        </w:rPr>
        <w:t>.</w:t>
      </w:r>
      <w:r w:rsidR="00EE7B93" w:rsidRPr="00C057B6">
        <w:rPr>
          <w:rFonts w:ascii="Arial" w:hAnsi="Arial" w:cs="Arial"/>
          <w:lang w:val="en-GB"/>
        </w:rPr>
        <w:t xml:space="preserve"> </w:t>
      </w:r>
      <w:r w:rsidR="00DC3992" w:rsidRPr="00C057B6">
        <w:rPr>
          <w:rStyle w:val="tlid-translation"/>
          <w:rFonts w:ascii="Arial" w:hAnsi="Arial" w:cs="Arial"/>
          <w:lang w:val="en"/>
        </w:rPr>
        <w:t xml:space="preserve">This is partly due to the lower quality of the results sent to the evaluation according to this criterion, but also to the difficulty of actually proving social relevance in the social sciences (especially shortly after the publication of the result). </w:t>
      </w:r>
      <w:r w:rsidR="00EE7B93" w:rsidRPr="00C057B6">
        <w:rPr>
          <w:rFonts w:ascii="Arial" w:hAnsi="Arial" w:cs="Arial"/>
          <w:lang w:val="en-GB"/>
        </w:rPr>
        <w:t xml:space="preserve">In this year's evaluation, the </w:t>
      </w:r>
      <w:r w:rsidR="00DC3992" w:rsidRPr="00C057B6">
        <w:rPr>
          <w:rFonts w:ascii="Arial" w:hAnsi="Arial" w:cs="Arial"/>
          <w:lang w:val="en-GB"/>
        </w:rPr>
        <w:t>work</w:t>
      </w:r>
      <w:r w:rsidR="00EE7B93" w:rsidRPr="00C057B6">
        <w:rPr>
          <w:rFonts w:ascii="Arial" w:hAnsi="Arial" w:cs="Arial"/>
          <w:lang w:val="en-GB"/>
        </w:rPr>
        <w:t xml:space="preserve"> of the </w:t>
      </w:r>
      <w:r w:rsidR="00DC3992" w:rsidRPr="00C057B6">
        <w:rPr>
          <w:rFonts w:ascii="Arial" w:hAnsi="Arial" w:cs="Arial"/>
          <w:lang w:val="en-GB"/>
        </w:rPr>
        <w:t>peer-reviewers</w:t>
      </w:r>
      <w:r w:rsidR="00EE7B93" w:rsidRPr="00C057B6">
        <w:rPr>
          <w:rFonts w:ascii="Arial" w:hAnsi="Arial" w:cs="Arial"/>
          <w:lang w:val="en-GB"/>
        </w:rPr>
        <w:t xml:space="preserve"> has improved both with regard to the quality of the evaluation and their responsiveness.</w:t>
      </w:r>
    </w:p>
    <w:p w14:paraId="0343BE80" w14:textId="77777777" w:rsidR="00C71B31" w:rsidRPr="00C057B6" w:rsidRDefault="00C71B31" w:rsidP="00E1388E">
      <w:pPr>
        <w:spacing w:after="120" w:line="240" w:lineRule="auto"/>
        <w:rPr>
          <w:rFonts w:ascii="Arial" w:hAnsi="Arial" w:cs="Arial"/>
          <w:lang w:val="en-GB"/>
        </w:rPr>
      </w:pPr>
    </w:p>
    <w:sectPr w:rsidR="00C71B31" w:rsidRPr="00C057B6" w:rsidSect="00D53232">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11DB1" w16cex:dateUtc="2020-08-26T15:43:00Z"/>
  <w16cex:commentExtensible w16cex:durableId="22F11F32" w16cex:dateUtc="2020-08-26T15: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DAD84D" w16cid:durableId="22F11DB1"/>
  <w16cid:commentId w16cid:paraId="17A8EF25" w16cid:durableId="22F11F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3BC50" w14:textId="77777777" w:rsidR="00F71DE5" w:rsidRDefault="00F71DE5" w:rsidP="00D53232">
      <w:pPr>
        <w:spacing w:after="0" w:line="240" w:lineRule="auto"/>
      </w:pPr>
      <w:r>
        <w:separator/>
      </w:r>
    </w:p>
  </w:endnote>
  <w:endnote w:type="continuationSeparator" w:id="0">
    <w:p w14:paraId="69464209" w14:textId="77777777" w:rsidR="00F71DE5" w:rsidRDefault="00F71DE5" w:rsidP="00D5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F0136" w14:textId="77777777" w:rsidR="00D53232" w:rsidRDefault="00D53232" w:rsidP="0091757D">
    <w:pPr>
      <w:pStyle w:val="Zpat"/>
      <w:framePr w:wrap="around"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p w14:paraId="7D7E56B2" w14:textId="77777777" w:rsidR="00D53232" w:rsidRDefault="00D532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907B6" w14:textId="6AC6433E" w:rsidR="00D53232" w:rsidRDefault="00D53232" w:rsidP="0091757D">
    <w:pPr>
      <w:pStyle w:val="Zpat"/>
      <w:framePr w:wrap="around"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sidR="006A2FC4">
      <w:rPr>
        <w:rStyle w:val="slostrnky"/>
        <w:noProof/>
      </w:rPr>
      <w:t>1</w:t>
    </w:r>
    <w:r>
      <w:rPr>
        <w:rStyle w:val="slostrnky"/>
      </w:rPr>
      <w:fldChar w:fldCharType="end"/>
    </w:r>
  </w:p>
  <w:p w14:paraId="0829A245" w14:textId="77777777" w:rsidR="00D53232" w:rsidRDefault="00D532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2D813" w14:textId="77777777" w:rsidR="00F71DE5" w:rsidRDefault="00F71DE5" w:rsidP="00D53232">
      <w:pPr>
        <w:spacing w:after="0" w:line="240" w:lineRule="auto"/>
      </w:pPr>
      <w:r>
        <w:separator/>
      </w:r>
    </w:p>
  </w:footnote>
  <w:footnote w:type="continuationSeparator" w:id="0">
    <w:p w14:paraId="1531F752" w14:textId="77777777" w:rsidR="00F71DE5" w:rsidRDefault="00F71DE5" w:rsidP="00D53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C22FC"/>
    <w:multiLevelType w:val="hybridMultilevel"/>
    <w:tmpl w:val="9EC809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2B976F88"/>
    <w:multiLevelType w:val="hybridMultilevel"/>
    <w:tmpl w:val="72964DE6"/>
    <w:lvl w:ilvl="0" w:tplc="F9CCAC74">
      <w:start w:val="7"/>
      <w:numFmt w:val="bullet"/>
      <w:lvlText w:val="-"/>
      <w:lvlJc w:val="left"/>
      <w:pPr>
        <w:ind w:left="717" w:hanging="360"/>
      </w:pPr>
      <w:rPr>
        <w:rFonts w:ascii="Calibri" w:eastAsiaTheme="minorHAnsi" w:hAnsi="Calibri" w:cstheme="minorBidi" w:hint="default"/>
      </w:rPr>
    </w:lvl>
    <w:lvl w:ilvl="1" w:tplc="04050003">
      <w:start w:val="1"/>
      <w:numFmt w:val="bullet"/>
      <w:lvlText w:val="o"/>
      <w:lvlJc w:val="left"/>
      <w:pPr>
        <w:ind w:left="1437" w:hanging="360"/>
      </w:pPr>
      <w:rPr>
        <w:rFonts w:ascii="Courier New" w:hAnsi="Courier New" w:cs="Courier New" w:hint="default"/>
      </w:rPr>
    </w:lvl>
    <w:lvl w:ilvl="2" w:tplc="04050005">
      <w:start w:val="1"/>
      <w:numFmt w:val="bullet"/>
      <w:lvlText w:val=""/>
      <w:lvlJc w:val="left"/>
      <w:pPr>
        <w:ind w:left="2157" w:hanging="360"/>
      </w:pPr>
      <w:rPr>
        <w:rFonts w:ascii="Wingdings" w:hAnsi="Wingdings" w:hint="default"/>
      </w:rPr>
    </w:lvl>
    <w:lvl w:ilvl="3" w:tplc="04050001">
      <w:start w:val="1"/>
      <w:numFmt w:val="bullet"/>
      <w:lvlText w:val=""/>
      <w:lvlJc w:val="left"/>
      <w:pPr>
        <w:ind w:left="2877" w:hanging="360"/>
      </w:pPr>
      <w:rPr>
        <w:rFonts w:ascii="Symbol" w:hAnsi="Symbol" w:hint="default"/>
      </w:rPr>
    </w:lvl>
    <w:lvl w:ilvl="4" w:tplc="04050003">
      <w:start w:val="1"/>
      <w:numFmt w:val="bullet"/>
      <w:lvlText w:val="o"/>
      <w:lvlJc w:val="left"/>
      <w:pPr>
        <w:ind w:left="3597" w:hanging="360"/>
      </w:pPr>
      <w:rPr>
        <w:rFonts w:ascii="Courier New" w:hAnsi="Courier New" w:cs="Courier New" w:hint="default"/>
      </w:rPr>
    </w:lvl>
    <w:lvl w:ilvl="5" w:tplc="04050005">
      <w:start w:val="1"/>
      <w:numFmt w:val="bullet"/>
      <w:lvlText w:val=""/>
      <w:lvlJc w:val="left"/>
      <w:pPr>
        <w:ind w:left="4317" w:hanging="360"/>
      </w:pPr>
      <w:rPr>
        <w:rFonts w:ascii="Wingdings" w:hAnsi="Wingdings" w:hint="default"/>
      </w:rPr>
    </w:lvl>
    <w:lvl w:ilvl="6" w:tplc="04050001">
      <w:start w:val="1"/>
      <w:numFmt w:val="bullet"/>
      <w:lvlText w:val=""/>
      <w:lvlJc w:val="left"/>
      <w:pPr>
        <w:ind w:left="5037" w:hanging="360"/>
      </w:pPr>
      <w:rPr>
        <w:rFonts w:ascii="Symbol" w:hAnsi="Symbol" w:hint="default"/>
      </w:rPr>
    </w:lvl>
    <w:lvl w:ilvl="7" w:tplc="04050003">
      <w:start w:val="1"/>
      <w:numFmt w:val="bullet"/>
      <w:lvlText w:val="o"/>
      <w:lvlJc w:val="left"/>
      <w:pPr>
        <w:ind w:left="5757" w:hanging="360"/>
      </w:pPr>
      <w:rPr>
        <w:rFonts w:ascii="Courier New" w:hAnsi="Courier New" w:cs="Courier New" w:hint="default"/>
      </w:rPr>
    </w:lvl>
    <w:lvl w:ilvl="8" w:tplc="04050005">
      <w:start w:val="1"/>
      <w:numFmt w:val="bullet"/>
      <w:lvlText w:val=""/>
      <w:lvlJc w:val="left"/>
      <w:pPr>
        <w:ind w:left="6477" w:hanging="360"/>
      </w:pPr>
      <w:rPr>
        <w:rFonts w:ascii="Wingdings" w:hAnsi="Wingdings" w:hint="default"/>
      </w:rPr>
    </w:lvl>
  </w:abstractNum>
  <w:abstractNum w:abstractNumId="2" w15:restartNumberingAfterBreak="0">
    <w:nsid w:val="2E314094"/>
    <w:multiLevelType w:val="hybridMultilevel"/>
    <w:tmpl w:val="4A503902"/>
    <w:lvl w:ilvl="0" w:tplc="96B04FB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E9E2F41"/>
    <w:multiLevelType w:val="hybridMultilevel"/>
    <w:tmpl w:val="435EFC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AE"/>
    <w:rsid w:val="000805FD"/>
    <w:rsid w:val="000B679B"/>
    <w:rsid w:val="001A53D8"/>
    <w:rsid w:val="001B1471"/>
    <w:rsid w:val="001C27E7"/>
    <w:rsid w:val="001C4991"/>
    <w:rsid w:val="00253FAF"/>
    <w:rsid w:val="002C7F3B"/>
    <w:rsid w:val="003376A6"/>
    <w:rsid w:val="0037534D"/>
    <w:rsid w:val="003B1FB4"/>
    <w:rsid w:val="00464DE9"/>
    <w:rsid w:val="00471C80"/>
    <w:rsid w:val="0047602E"/>
    <w:rsid w:val="00476C50"/>
    <w:rsid w:val="00482546"/>
    <w:rsid w:val="004B157B"/>
    <w:rsid w:val="004B6799"/>
    <w:rsid w:val="0055259A"/>
    <w:rsid w:val="005667AE"/>
    <w:rsid w:val="005E7C09"/>
    <w:rsid w:val="0060047A"/>
    <w:rsid w:val="00626B5A"/>
    <w:rsid w:val="006A2FC4"/>
    <w:rsid w:val="006B7E5A"/>
    <w:rsid w:val="006D5142"/>
    <w:rsid w:val="006F5AA6"/>
    <w:rsid w:val="00753093"/>
    <w:rsid w:val="008E0C02"/>
    <w:rsid w:val="00900CD8"/>
    <w:rsid w:val="00946C56"/>
    <w:rsid w:val="0095068A"/>
    <w:rsid w:val="009C1857"/>
    <w:rsid w:val="00A5660C"/>
    <w:rsid w:val="00A70CC8"/>
    <w:rsid w:val="00AD2218"/>
    <w:rsid w:val="00B04767"/>
    <w:rsid w:val="00B43DE8"/>
    <w:rsid w:val="00B75860"/>
    <w:rsid w:val="00B84493"/>
    <w:rsid w:val="00B963E7"/>
    <w:rsid w:val="00BA41EF"/>
    <w:rsid w:val="00BA6AD7"/>
    <w:rsid w:val="00BC4EA5"/>
    <w:rsid w:val="00C0262C"/>
    <w:rsid w:val="00C057B6"/>
    <w:rsid w:val="00C71B31"/>
    <w:rsid w:val="00CA5D8B"/>
    <w:rsid w:val="00D53232"/>
    <w:rsid w:val="00D740F9"/>
    <w:rsid w:val="00DA3D2B"/>
    <w:rsid w:val="00DC3992"/>
    <w:rsid w:val="00DD682A"/>
    <w:rsid w:val="00DF3894"/>
    <w:rsid w:val="00E06AC4"/>
    <w:rsid w:val="00E1388E"/>
    <w:rsid w:val="00E3656E"/>
    <w:rsid w:val="00E415F7"/>
    <w:rsid w:val="00E54A99"/>
    <w:rsid w:val="00EE7B93"/>
    <w:rsid w:val="00F32BB4"/>
    <w:rsid w:val="00F519F3"/>
    <w:rsid w:val="00F71DE5"/>
    <w:rsid w:val="00F91867"/>
    <w:rsid w:val="00F94D4E"/>
    <w:rsid w:val="00FD22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4F1E"/>
  <w15:chartTrackingRefBased/>
  <w15:docId w15:val="{CB2508F4-2990-4539-A203-76CE070F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138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E138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75860"/>
    <w:pPr>
      <w:ind w:left="720"/>
      <w:contextualSpacing/>
    </w:pPr>
  </w:style>
  <w:style w:type="character" w:styleId="Hypertextovodkaz">
    <w:name w:val="Hyperlink"/>
    <w:basedOn w:val="Standardnpsmoodstavce"/>
    <w:uiPriority w:val="99"/>
    <w:semiHidden/>
    <w:unhideWhenUsed/>
    <w:rsid w:val="00CA5D8B"/>
    <w:rPr>
      <w:color w:val="0563C1"/>
      <w:u w:val="single"/>
    </w:rPr>
  </w:style>
  <w:style w:type="character" w:customStyle="1" w:styleId="Nadpis1Char">
    <w:name w:val="Nadpis 1 Char"/>
    <w:basedOn w:val="Standardnpsmoodstavce"/>
    <w:link w:val="Nadpis1"/>
    <w:uiPriority w:val="9"/>
    <w:rsid w:val="00E1388E"/>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E1388E"/>
    <w:rPr>
      <w:rFonts w:asciiTheme="majorHAnsi" w:eastAsiaTheme="majorEastAsia" w:hAnsiTheme="majorHAnsi" w:cstheme="majorBidi"/>
      <w:color w:val="2E74B5" w:themeColor="accent1" w:themeShade="BF"/>
      <w:sz w:val="26"/>
      <w:szCs w:val="26"/>
    </w:rPr>
  </w:style>
  <w:style w:type="character" w:styleId="Zdraznnintenzivn">
    <w:name w:val="Intense Emphasis"/>
    <w:basedOn w:val="Standardnpsmoodstavce"/>
    <w:uiPriority w:val="21"/>
    <w:qFormat/>
    <w:rsid w:val="00E1388E"/>
    <w:rPr>
      <w:i/>
      <w:iCs/>
      <w:color w:val="5B9BD5" w:themeColor="accent1"/>
    </w:rPr>
  </w:style>
  <w:style w:type="paragraph" w:styleId="Zpat">
    <w:name w:val="footer"/>
    <w:basedOn w:val="Normln"/>
    <w:link w:val="ZpatChar"/>
    <w:uiPriority w:val="99"/>
    <w:unhideWhenUsed/>
    <w:rsid w:val="00D53232"/>
    <w:pPr>
      <w:tabs>
        <w:tab w:val="center" w:pos="4536"/>
        <w:tab w:val="right" w:pos="9072"/>
      </w:tabs>
      <w:spacing w:after="0" w:line="240" w:lineRule="auto"/>
    </w:pPr>
  </w:style>
  <w:style w:type="character" w:customStyle="1" w:styleId="ZpatChar">
    <w:name w:val="Zápatí Char"/>
    <w:basedOn w:val="Standardnpsmoodstavce"/>
    <w:link w:val="Zpat"/>
    <w:uiPriority w:val="99"/>
    <w:rsid w:val="00D53232"/>
  </w:style>
  <w:style w:type="character" w:styleId="slostrnky">
    <w:name w:val="page number"/>
    <w:basedOn w:val="Standardnpsmoodstavce"/>
    <w:uiPriority w:val="99"/>
    <w:semiHidden/>
    <w:unhideWhenUsed/>
    <w:rsid w:val="00D53232"/>
  </w:style>
  <w:style w:type="character" w:customStyle="1" w:styleId="tlid-translation">
    <w:name w:val="tlid-translation"/>
    <w:basedOn w:val="Standardnpsmoodstavce"/>
    <w:rsid w:val="00A5660C"/>
  </w:style>
  <w:style w:type="paragraph" w:styleId="Zhlav">
    <w:name w:val="header"/>
    <w:basedOn w:val="Normln"/>
    <w:link w:val="ZhlavChar"/>
    <w:uiPriority w:val="99"/>
    <w:unhideWhenUsed/>
    <w:rsid w:val="006B7E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7E5A"/>
  </w:style>
  <w:style w:type="paragraph" w:styleId="Textbubliny">
    <w:name w:val="Balloon Text"/>
    <w:basedOn w:val="Normln"/>
    <w:link w:val="TextbublinyChar"/>
    <w:uiPriority w:val="99"/>
    <w:semiHidden/>
    <w:unhideWhenUsed/>
    <w:rsid w:val="00DA3D2B"/>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DA3D2B"/>
    <w:rPr>
      <w:rFonts w:ascii="Times New Roman" w:hAnsi="Times New Roman" w:cs="Times New Roman"/>
      <w:sz w:val="18"/>
      <w:szCs w:val="18"/>
    </w:rPr>
  </w:style>
  <w:style w:type="character" w:styleId="Odkaznakoment">
    <w:name w:val="annotation reference"/>
    <w:basedOn w:val="Standardnpsmoodstavce"/>
    <w:uiPriority w:val="99"/>
    <w:semiHidden/>
    <w:unhideWhenUsed/>
    <w:rsid w:val="00DA3D2B"/>
    <w:rPr>
      <w:sz w:val="16"/>
      <w:szCs w:val="16"/>
    </w:rPr>
  </w:style>
  <w:style w:type="paragraph" w:styleId="Textkomente">
    <w:name w:val="annotation text"/>
    <w:basedOn w:val="Normln"/>
    <w:link w:val="TextkomenteChar"/>
    <w:uiPriority w:val="99"/>
    <w:semiHidden/>
    <w:unhideWhenUsed/>
    <w:rsid w:val="00DA3D2B"/>
    <w:pPr>
      <w:spacing w:line="240" w:lineRule="auto"/>
    </w:pPr>
    <w:rPr>
      <w:sz w:val="20"/>
      <w:szCs w:val="20"/>
    </w:rPr>
  </w:style>
  <w:style w:type="character" w:customStyle="1" w:styleId="TextkomenteChar">
    <w:name w:val="Text komentáře Char"/>
    <w:basedOn w:val="Standardnpsmoodstavce"/>
    <w:link w:val="Textkomente"/>
    <w:uiPriority w:val="99"/>
    <w:semiHidden/>
    <w:rsid w:val="00DA3D2B"/>
    <w:rPr>
      <w:sz w:val="20"/>
      <w:szCs w:val="20"/>
    </w:rPr>
  </w:style>
  <w:style w:type="paragraph" w:styleId="Pedmtkomente">
    <w:name w:val="annotation subject"/>
    <w:basedOn w:val="Textkomente"/>
    <w:next w:val="Textkomente"/>
    <w:link w:val="PedmtkomenteChar"/>
    <w:uiPriority w:val="99"/>
    <w:semiHidden/>
    <w:unhideWhenUsed/>
    <w:rsid w:val="00DA3D2B"/>
    <w:rPr>
      <w:b/>
      <w:bCs/>
    </w:rPr>
  </w:style>
  <w:style w:type="character" w:customStyle="1" w:styleId="PedmtkomenteChar">
    <w:name w:val="Předmět komentáře Char"/>
    <w:basedOn w:val="TextkomenteChar"/>
    <w:link w:val="Pedmtkomente"/>
    <w:uiPriority w:val="99"/>
    <w:semiHidden/>
    <w:rsid w:val="00DA3D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72190">
      <w:bodyDiv w:val="1"/>
      <w:marLeft w:val="0"/>
      <w:marRight w:val="0"/>
      <w:marTop w:val="0"/>
      <w:marBottom w:val="0"/>
      <w:divBdr>
        <w:top w:val="none" w:sz="0" w:space="0" w:color="auto"/>
        <w:left w:val="none" w:sz="0" w:space="0" w:color="auto"/>
        <w:bottom w:val="none" w:sz="0" w:space="0" w:color="auto"/>
        <w:right w:val="none" w:sz="0" w:space="0" w:color="auto"/>
      </w:divBdr>
    </w:div>
    <w:div w:id="325911442">
      <w:bodyDiv w:val="1"/>
      <w:marLeft w:val="0"/>
      <w:marRight w:val="0"/>
      <w:marTop w:val="0"/>
      <w:marBottom w:val="0"/>
      <w:divBdr>
        <w:top w:val="none" w:sz="0" w:space="0" w:color="auto"/>
        <w:left w:val="none" w:sz="0" w:space="0" w:color="auto"/>
        <w:bottom w:val="none" w:sz="0" w:space="0" w:color="auto"/>
        <w:right w:val="none" w:sz="0" w:space="0" w:color="auto"/>
      </w:divBdr>
      <w:divsChild>
        <w:div w:id="465050836">
          <w:marLeft w:val="0"/>
          <w:marRight w:val="0"/>
          <w:marTop w:val="0"/>
          <w:marBottom w:val="0"/>
          <w:divBdr>
            <w:top w:val="none" w:sz="0" w:space="0" w:color="auto"/>
            <w:left w:val="none" w:sz="0" w:space="0" w:color="auto"/>
            <w:bottom w:val="none" w:sz="0" w:space="0" w:color="auto"/>
            <w:right w:val="none" w:sz="0" w:space="0" w:color="auto"/>
          </w:divBdr>
          <w:divsChild>
            <w:div w:id="4554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0957">
      <w:bodyDiv w:val="1"/>
      <w:marLeft w:val="0"/>
      <w:marRight w:val="0"/>
      <w:marTop w:val="0"/>
      <w:marBottom w:val="0"/>
      <w:divBdr>
        <w:top w:val="none" w:sz="0" w:space="0" w:color="auto"/>
        <w:left w:val="none" w:sz="0" w:space="0" w:color="auto"/>
        <w:bottom w:val="none" w:sz="0" w:space="0" w:color="auto"/>
        <w:right w:val="none" w:sz="0" w:space="0" w:color="auto"/>
      </w:divBdr>
      <w:divsChild>
        <w:div w:id="17120982">
          <w:marLeft w:val="0"/>
          <w:marRight w:val="0"/>
          <w:marTop w:val="0"/>
          <w:marBottom w:val="0"/>
          <w:divBdr>
            <w:top w:val="none" w:sz="0" w:space="0" w:color="auto"/>
            <w:left w:val="none" w:sz="0" w:space="0" w:color="auto"/>
            <w:bottom w:val="none" w:sz="0" w:space="0" w:color="auto"/>
            <w:right w:val="none" w:sz="0" w:space="0" w:color="auto"/>
          </w:divBdr>
        </w:div>
      </w:divsChild>
    </w:div>
    <w:div w:id="619920639">
      <w:bodyDiv w:val="1"/>
      <w:marLeft w:val="0"/>
      <w:marRight w:val="0"/>
      <w:marTop w:val="0"/>
      <w:marBottom w:val="0"/>
      <w:divBdr>
        <w:top w:val="none" w:sz="0" w:space="0" w:color="auto"/>
        <w:left w:val="none" w:sz="0" w:space="0" w:color="auto"/>
        <w:bottom w:val="none" w:sz="0" w:space="0" w:color="auto"/>
        <w:right w:val="none" w:sz="0" w:space="0" w:color="auto"/>
      </w:divBdr>
    </w:div>
    <w:div w:id="666253336">
      <w:bodyDiv w:val="1"/>
      <w:marLeft w:val="0"/>
      <w:marRight w:val="0"/>
      <w:marTop w:val="0"/>
      <w:marBottom w:val="0"/>
      <w:divBdr>
        <w:top w:val="none" w:sz="0" w:space="0" w:color="auto"/>
        <w:left w:val="none" w:sz="0" w:space="0" w:color="auto"/>
        <w:bottom w:val="none" w:sz="0" w:space="0" w:color="auto"/>
        <w:right w:val="none" w:sz="0" w:space="0" w:color="auto"/>
      </w:divBdr>
    </w:div>
    <w:div w:id="801197677">
      <w:bodyDiv w:val="1"/>
      <w:marLeft w:val="0"/>
      <w:marRight w:val="0"/>
      <w:marTop w:val="0"/>
      <w:marBottom w:val="0"/>
      <w:divBdr>
        <w:top w:val="none" w:sz="0" w:space="0" w:color="auto"/>
        <w:left w:val="none" w:sz="0" w:space="0" w:color="auto"/>
        <w:bottom w:val="none" w:sz="0" w:space="0" w:color="auto"/>
        <w:right w:val="none" w:sz="0" w:space="0" w:color="auto"/>
      </w:divBdr>
    </w:div>
    <w:div w:id="1079668452">
      <w:bodyDiv w:val="1"/>
      <w:marLeft w:val="0"/>
      <w:marRight w:val="0"/>
      <w:marTop w:val="0"/>
      <w:marBottom w:val="0"/>
      <w:divBdr>
        <w:top w:val="none" w:sz="0" w:space="0" w:color="auto"/>
        <w:left w:val="none" w:sz="0" w:space="0" w:color="auto"/>
        <w:bottom w:val="none" w:sz="0" w:space="0" w:color="auto"/>
        <w:right w:val="none" w:sz="0" w:space="0" w:color="auto"/>
      </w:divBdr>
    </w:div>
    <w:div w:id="1275358659">
      <w:bodyDiv w:val="1"/>
      <w:marLeft w:val="0"/>
      <w:marRight w:val="0"/>
      <w:marTop w:val="0"/>
      <w:marBottom w:val="0"/>
      <w:divBdr>
        <w:top w:val="none" w:sz="0" w:space="0" w:color="auto"/>
        <w:left w:val="none" w:sz="0" w:space="0" w:color="auto"/>
        <w:bottom w:val="none" w:sz="0" w:space="0" w:color="auto"/>
        <w:right w:val="none" w:sz="0" w:space="0" w:color="auto"/>
      </w:divBdr>
    </w:div>
    <w:div w:id="1396049888">
      <w:bodyDiv w:val="1"/>
      <w:marLeft w:val="0"/>
      <w:marRight w:val="0"/>
      <w:marTop w:val="0"/>
      <w:marBottom w:val="0"/>
      <w:divBdr>
        <w:top w:val="none" w:sz="0" w:space="0" w:color="auto"/>
        <w:left w:val="none" w:sz="0" w:space="0" w:color="auto"/>
        <w:bottom w:val="none" w:sz="0" w:space="0" w:color="auto"/>
        <w:right w:val="none" w:sz="0" w:space="0" w:color="auto"/>
      </w:divBdr>
    </w:div>
    <w:div w:id="1524323408">
      <w:bodyDiv w:val="1"/>
      <w:marLeft w:val="0"/>
      <w:marRight w:val="0"/>
      <w:marTop w:val="0"/>
      <w:marBottom w:val="0"/>
      <w:divBdr>
        <w:top w:val="none" w:sz="0" w:space="0" w:color="auto"/>
        <w:left w:val="none" w:sz="0" w:space="0" w:color="auto"/>
        <w:bottom w:val="none" w:sz="0" w:space="0" w:color="auto"/>
        <w:right w:val="none" w:sz="0" w:space="0" w:color="auto"/>
      </w:divBdr>
    </w:div>
    <w:div w:id="186274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skv19.rvvi.cz/skv/organizations/preview-sub/44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kv19.rvvi.cz/skv/organizations/preview-sub/37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kv19.rvvi.cz/skv/organizations/preview-sub/414/" TargetMode="Externa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skv19.rvvi.cz/skv/organizations/preview-sub/134/" TargetMode="External"/><Relationship Id="rId22" Type="http://schemas.microsoft.com/office/2018/08/relationships/commentsExtensible" Target="commentsExtensi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adka.dudova\Nextcloud\Documents\RVVI\Vzd&#225;len&#233;%20hodnocen&#237;%202020\souhrnn&#253;%20ecxe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adka.dudova\Nextcloud\Documents\RVVI\Vzd&#225;len&#233;%20hodnocen&#237;%202020\souhrnn&#253;%20ecxe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adka.dudova\Nextcloud\Documents\RVVI\Vzd&#225;len&#233;%20hodnocen&#237;%202020\souhrnn&#253;%20ecxel.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Rozložení</a:t>
            </a:r>
            <a:r>
              <a:rPr lang="cs-CZ" baseline="0"/>
              <a:t> známek - Panel 5</a:t>
            </a:r>
            <a:endParaRPr lang="cs-CZ"/>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v>Celkem (%)</c:v>
          </c:tx>
          <c:spPr>
            <a:solidFill>
              <a:schemeClr val="accent1"/>
            </a:solidFill>
            <a:ln>
              <a:noFill/>
            </a:ln>
            <a:effectLst/>
          </c:spPr>
          <c:invertIfNegative val="0"/>
          <c:val>
            <c:numRef>
              <c:f>List1!$AH$25:$AH$29</c:f>
              <c:numCache>
                <c:formatCode>General</c:formatCode>
                <c:ptCount val="5"/>
                <c:pt idx="0">
                  <c:v>5</c:v>
                </c:pt>
                <c:pt idx="1">
                  <c:v>18</c:v>
                </c:pt>
                <c:pt idx="2">
                  <c:v>39</c:v>
                </c:pt>
                <c:pt idx="3">
                  <c:v>23</c:v>
                </c:pt>
                <c:pt idx="4">
                  <c:v>15</c:v>
                </c:pt>
              </c:numCache>
            </c:numRef>
          </c:val>
          <c:extLst>
            <c:ext xmlns:c16="http://schemas.microsoft.com/office/drawing/2014/chart" uri="{C3380CC4-5D6E-409C-BE32-E72D297353CC}">
              <c16:uniqueId val="{00000000-4B67-4999-8CB5-A57B244F4B96}"/>
            </c:ext>
          </c:extLst>
        </c:ser>
        <c:ser>
          <c:idx val="1"/>
          <c:order val="1"/>
          <c:tx>
            <c:v>Přínos k poznání (%)</c:v>
          </c:tx>
          <c:spPr>
            <a:solidFill>
              <a:schemeClr val="accent2"/>
            </a:solidFill>
            <a:ln>
              <a:noFill/>
            </a:ln>
            <a:effectLst/>
          </c:spPr>
          <c:invertIfNegative val="0"/>
          <c:val>
            <c:numRef>
              <c:f>List1!$AI$25:$AI$29</c:f>
              <c:numCache>
                <c:formatCode>General</c:formatCode>
                <c:ptCount val="5"/>
                <c:pt idx="0">
                  <c:v>8</c:v>
                </c:pt>
                <c:pt idx="1">
                  <c:v>25</c:v>
                </c:pt>
                <c:pt idx="2">
                  <c:v>39</c:v>
                </c:pt>
                <c:pt idx="3">
                  <c:v>22</c:v>
                </c:pt>
                <c:pt idx="4">
                  <c:v>6</c:v>
                </c:pt>
              </c:numCache>
            </c:numRef>
          </c:val>
          <c:extLst>
            <c:ext xmlns:c16="http://schemas.microsoft.com/office/drawing/2014/chart" uri="{C3380CC4-5D6E-409C-BE32-E72D297353CC}">
              <c16:uniqueId val="{00000001-4B67-4999-8CB5-A57B244F4B96}"/>
            </c:ext>
          </c:extLst>
        </c:ser>
        <c:ser>
          <c:idx val="2"/>
          <c:order val="2"/>
          <c:tx>
            <c:v>Společenská relevance (%)</c:v>
          </c:tx>
          <c:spPr>
            <a:solidFill>
              <a:schemeClr val="accent3"/>
            </a:solidFill>
            <a:ln>
              <a:noFill/>
            </a:ln>
            <a:effectLst/>
          </c:spPr>
          <c:invertIfNegative val="0"/>
          <c:val>
            <c:numRef>
              <c:f>List1!$AJ$25:$AJ$29</c:f>
              <c:numCache>
                <c:formatCode>General</c:formatCode>
                <c:ptCount val="5"/>
                <c:pt idx="0">
                  <c:v>1</c:v>
                </c:pt>
                <c:pt idx="1">
                  <c:v>8</c:v>
                </c:pt>
                <c:pt idx="2">
                  <c:v>39</c:v>
                </c:pt>
                <c:pt idx="3">
                  <c:v>24</c:v>
                </c:pt>
                <c:pt idx="4">
                  <c:v>28</c:v>
                </c:pt>
              </c:numCache>
            </c:numRef>
          </c:val>
          <c:extLst>
            <c:ext xmlns:c16="http://schemas.microsoft.com/office/drawing/2014/chart" uri="{C3380CC4-5D6E-409C-BE32-E72D297353CC}">
              <c16:uniqueId val="{00000002-4B67-4999-8CB5-A57B244F4B96}"/>
            </c:ext>
          </c:extLst>
        </c:ser>
        <c:dLbls>
          <c:showLegendKey val="0"/>
          <c:showVal val="0"/>
          <c:showCatName val="0"/>
          <c:showSerName val="0"/>
          <c:showPercent val="0"/>
          <c:showBubbleSize val="0"/>
        </c:dLbls>
        <c:gapWidth val="219"/>
        <c:overlap val="-27"/>
        <c:axId val="262880088"/>
        <c:axId val="262874512"/>
      </c:barChart>
      <c:catAx>
        <c:axId val="262880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62874512"/>
        <c:crosses val="autoZero"/>
        <c:auto val="1"/>
        <c:lblAlgn val="ctr"/>
        <c:lblOffset val="100"/>
        <c:noMultiLvlLbl val="0"/>
      </c:catAx>
      <c:valAx>
        <c:axId val="262874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628800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bar"/>
        <c:grouping val="clustered"/>
        <c:varyColors val="0"/>
        <c:ser>
          <c:idx val="0"/>
          <c:order val="0"/>
          <c:tx>
            <c:strRef>
              <c:f>List1!$C$57</c:f>
              <c:strCache>
                <c:ptCount val="1"/>
                <c:pt idx="0">
                  <c:v>Průměr hodnocení - celkem</c:v>
                </c:pt>
              </c:strCache>
            </c:strRef>
          </c:tx>
          <c:spPr>
            <a:solidFill>
              <a:schemeClr val="accent1"/>
            </a:solidFill>
            <a:ln>
              <a:noFill/>
            </a:ln>
            <a:effectLst/>
          </c:spPr>
          <c:invertIfNegative val="0"/>
          <c:cat>
            <c:strRef>
              <c:f>List1!$B$58:$B$66</c:f>
              <c:strCache>
                <c:ptCount val="9"/>
                <c:pt idx="0">
                  <c:v>5.9 Other</c:v>
                </c:pt>
                <c:pt idx="1">
                  <c:v>5.3. Education</c:v>
                </c:pt>
                <c:pt idx="2">
                  <c:v>5.8. Media and Communications</c:v>
                </c:pt>
                <c:pt idx="3">
                  <c:v>5.1 Psychology and cognitive sciences</c:v>
                </c:pt>
                <c:pt idx="4">
                  <c:v>5.2 Economics and Business</c:v>
                </c:pt>
                <c:pt idx="5">
                  <c:v>5.6. Political Science</c:v>
                </c:pt>
                <c:pt idx="6">
                  <c:v>5.5. Law</c:v>
                </c:pt>
                <c:pt idx="7">
                  <c:v>5.4. Sociology</c:v>
                </c:pt>
                <c:pt idx="8">
                  <c:v>5.7 Social Geography</c:v>
                </c:pt>
              </c:strCache>
            </c:strRef>
          </c:cat>
          <c:val>
            <c:numRef>
              <c:f>List1!$C$58:$C$66</c:f>
              <c:numCache>
                <c:formatCode>0.00</c:formatCode>
                <c:ptCount val="9"/>
                <c:pt idx="0">
                  <c:v>4.0999999999999996</c:v>
                </c:pt>
                <c:pt idx="1">
                  <c:v>3.55</c:v>
                </c:pt>
                <c:pt idx="2">
                  <c:v>3.44</c:v>
                </c:pt>
                <c:pt idx="3">
                  <c:v>3.34</c:v>
                </c:pt>
                <c:pt idx="4">
                  <c:v>3.27</c:v>
                </c:pt>
                <c:pt idx="5">
                  <c:v>3.19</c:v>
                </c:pt>
                <c:pt idx="6">
                  <c:v>3.12</c:v>
                </c:pt>
                <c:pt idx="7">
                  <c:v>3.04</c:v>
                </c:pt>
                <c:pt idx="8">
                  <c:v>2.56</c:v>
                </c:pt>
              </c:numCache>
            </c:numRef>
          </c:val>
          <c:extLst>
            <c:ext xmlns:c16="http://schemas.microsoft.com/office/drawing/2014/chart" uri="{C3380CC4-5D6E-409C-BE32-E72D297353CC}">
              <c16:uniqueId val="{00000000-2B08-43F4-B63C-DF63AECF37ED}"/>
            </c:ext>
          </c:extLst>
        </c:ser>
        <c:dLbls>
          <c:showLegendKey val="0"/>
          <c:showVal val="0"/>
          <c:showCatName val="0"/>
          <c:showSerName val="0"/>
          <c:showPercent val="0"/>
          <c:showBubbleSize val="0"/>
        </c:dLbls>
        <c:gapWidth val="182"/>
        <c:axId val="263260464"/>
        <c:axId val="263259480"/>
      </c:barChart>
      <c:catAx>
        <c:axId val="2632604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63259480"/>
        <c:crosses val="autoZero"/>
        <c:auto val="1"/>
        <c:lblAlgn val="ctr"/>
        <c:lblOffset val="100"/>
        <c:noMultiLvlLbl val="0"/>
      </c:catAx>
      <c:valAx>
        <c:axId val="26325948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63260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Průměr hodnocení - dvě kritéria</a:t>
            </a:r>
          </a:p>
          <a:p>
            <a:pPr>
              <a:defRPr/>
            </a:pPr>
            <a:r>
              <a:rPr lang="cs-CZ" sz="900"/>
              <a:t>(seřazeno</a:t>
            </a:r>
            <a:r>
              <a:rPr lang="cs-CZ" sz="900" baseline="0"/>
              <a:t> podle výsledku dle přínosu k poznání)</a:t>
            </a:r>
            <a:endParaRPr lang="cs-CZ" sz="900"/>
          </a:p>
        </c:rich>
      </c:tx>
      <c:layout>
        <c:manualLayout>
          <c:xMode val="edge"/>
          <c:yMode val="edge"/>
          <c:x val="0.22947900262467191"/>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bar"/>
        <c:grouping val="clustered"/>
        <c:varyColors val="0"/>
        <c:ser>
          <c:idx val="1"/>
          <c:order val="1"/>
          <c:tx>
            <c:strRef>
              <c:f>List1!$D$82</c:f>
              <c:strCache>
                <c:ptCount val="1"/>
                <c:pt idx="0">
                  <c:v>Přínos k poznání</c:v>
                </c:pt>
              </c:strCache>
            </c:strRef>
          </c:tx>
          <c:spPr>
            <a:solidFill>
              <a:schemeClr val="accent2"/>
            </a:solidFill>
            <a:ln>
              <a:noFill/>
            </a:ln>
            <a:effectLst/>
          </c:spPr>
          <c:invertIfNegative val="0"/>
          <c:cat>
            <c:strRef>
              <c:f>List1!$B$83:$B$91</c:f>
              <c:strCache>
                <c:ptCount val="9"/>
                <c:pt idx="0">
                  <c:v>5.3. Education</c:v>
                </c:pt>
                <c:pt idx="1">
                  <c:v>5.8. Media and Communications</c:v>
                </c:pt>
                <c:pt idx="2">
                  <c:v>5.5. Law</c:v>
                </c:pt>
                <c:pt idx="3">
                  <c:v>5.9 Other</c:v>
                </c:pt>
                <c:pt idx="4">
                  <c:v>5.4. Sociology</c:v>
                </c:pt>
                <c:pt idx="5">
                  <c:v>5.1 Psychology and cognitive sciences</c:v>
                </c:pt>
                <c:pt idx="6">
                  <c:v>5.2 Economics and Business</c:v>
                </c:pt>
                <c:pt idx="7">
                  <c:v>5.6. Political Science</c:v>
                </c:pt>
                <c:pt idx="8">
                  <c:v>5.7 Social Geography</c:v>
                </c:pt>
              </c:strCache>
            </c:strRef>
          </c:cat>
          <c:val>
            <c:numRef>
              <c:f>List1!$D$83:$D$91</c:f>
              <c:numCache>
                <c:formatCode>General</c:formatCode>
                <c:ptCount val="9"/>
                <c:pt idx="0">
                  <c:v>3.3</c:v>
                </c:pt>
                <c:pt idx="1">
                  <c:v>3.2</c:v>
                </c:pt>
                <c:pt idx="2">
                  <c:v>3.03</c:v>
                </c:pt>
                <c:pt idx="3">
                  <c:v>3</c:v>
                </c:pt>
                <c:pt idx="4">
                  <c:v>2.97</c:v>
                </c:pt>
                <c:pt idx="5">
                  <c:v>2.88</c:v>
                </c:pt>
                <c:pt idx="6">
                  <c:v>2.74</c:v>
                </c:pt>
                <c:pt idx="7">
                  <c:v>2.64</c:v>
                </c:pt>
                <c:pt idx="8">
                  <c:v>2.2999999999999998</c:v>
                </c:pt>
              </c:numCache>
            </c:numRef>
          </c:val>
          <c:extLst>
            <c:ext xmlns:c16="http://schemas.microsoft.com/office/drawing/2014/chart" uri="{C3380CC4-5D6E-409C-BE32-E72D297353CC}">
              <c16:uniqueId val="{00000000-8F68-4E37-AEB6-61CE83318E83}"/>
            </c:ext>
          </c:extLst>
        </c:ser>
        <c:ser>
          <c:idx val="2"/>
          <c:order val="2"/>
          <c:tx>
            <c:strRef>
              <c:f>List1!$E$82</c:f>
              <c:strCache>
                <c:ptCount val="1"/>
                <c:pt idx="0">
                  <c:v>Společenská relevance</c:v>
                </c:pt>
              </c:strCache>
            </c:strRef>
          </c:tx>
          <c:spPr>
            <a:solidFill>
              <a:schemeClr val="accent3"/>
            </a:solidFill>
            <a:ln>
              <a:noFill/>
            </a:ln>
            <a:effectLst/>
          </c:spPr>
          <c:invertIfNegative val="0"/>
          <c:cat>
            <c:strRef>
              <c:f>List1!$B$83:$B$91</c:f>
              <c:strCache>
                <c:ptCount val="9"/>
                <c:pt idx="0">
                  <c:v>5.3. Education</c:v>
                </c:pt>
                <c:pt idx="1">
                  <c:v>5.8. Media and Communications</c:v>
                </c:pt>
                <c:pt idx="2">
                  <c:v>5.5. Law</c:v>
                </c:pt>
                <c:pt idx="3">
                  <c:v>5.9 Other</c:v>
                </c:pt>
                <c:pt idx="4">
                  <c:v>5.4. Sociology</c:v>
                </c:pt>
                <c:pt idx="5">
                  <c:v>5.1 Psychology and cognitive sciences</c:v>
                </c:pt>
                <c:pt idx="6">
                  <c:v>5.2 Economics and Business</c:v>
                </c:pt>
                <c:pt idx="7">
                  <c:v>5.6. Political Science</c:v>
                </c:pt>
                <c:pt idx="8">
                  <c:v>5.7 Social Geography</c:v>
                </c:pt>
              </c:strCache>
            </c:strRef>
          </c:cat>
          <c:val>
            <c:numRef>
              <c:f>List1!$E$83:$E$91</c:f>
              <c:numCache>
                <c:formatCode>General</c:formatCode>
                <c:ptCount val="9"/>
                <c:pt idx="0">
                  <c:v>3.8</c:v>
                </c:pt>
                <c:pt idx="1">
                  <c:v>3.83</c:v>
                </c:pt>
                <c:pt idx="2">
                  <c:v>3.4</c:v>
                </c:pt>
                <c:pt idx="3">
                  <c:v>4.26</c:v>
                </c:pt>
                <c:pt idx="4">
                  <c:v>3.17</c:v>
                </c:pt>
                <c:pt idx="5">
                  <c:v>3.63</c:v>
                </c:pt>
                <c:pt idx="6">
                  <c:v>3.76</c:v>
                </c:pt>
                <c:pt idx="7">
                  <c:v>4.04</c:v>
                </c:pt>
                <c:pt idx="8">
                  <c:v>3</c:v>
                </c:pt>
              </c:numCache>
            </c:numRef>
          </c:val>
          <c:extLst>
            <c:ext xmlns:c16="http://schemas.microsoft.com/office/drawing/2014/chart" uri="{C3380CC4-5D6E-409C-BE32-E72D297353CC}">
              <c16:uniqueId val="{00000001-8F68-4E37-AEB6-61CE83318E83}"/>
            </c:ext>
          </c:extLst>
        </c:ser>
        <c:dLbls>
          <c:showLegendKey val="0"/>
          <c:showVal val="0"/>
          <c:showCatName val="0"/>
          <c:showSerName val="0"/>
          <c:showPercent val="0"/>
          <c:showBubbleSize val="0"/>
        </c:dLbls>
        <c:gapWidth val="182"/>
        <c:axId val="466616920"/>
        <c:axId val="466617576"/>
        <c:extLst>
          <c:ext xmlns:c15="http://schemas.microsoft.com/office/drawing/2012/chart" uri="{02D57815-91ED-43cb-92C2-25804820EDAC}">
            <c15:filteredBarSeries>
              <c15:ser>
                <c:idx val="0"/>
                <c:order val="0"/>
                <c:tx>
                  <c:strRef>
                    <c:extLst>
                      <c:ext uri="{02D57815-91ED-43cb-92C2-25804820EDAC}">
                        <c15:formulaRef>
                          <c15:sqref>List1!$C$82</c15:sqref>
                        </c15:formulaRef>
                      </c:ext>
                    </c:extLst>
                    <c:strCache>
                      <c:ptCount val="1"/>
                    </c:strCache>
                  </c:strRef>
                </c:tx>
                <c:spPr>
                  <a:solidFill>
                    <a:schemeClr val="accent1"/>
                  </a:solidFill>
                  <a:ln>
                    <a:noFill/>
                  </a:ln>
                  <a:effectLst/>
                </c:spPr>
                <c:invertIfNegative val="0"/>
                <c:cat>
                  <c:strRef>
                    <c:extLst>
                      <c:ext uri="{02D57815-91ED-43cb-92C2-25804820EDAC}">
                        <c15:formulaRef>
                          <c15:sqref>List1!$B$83:$B$91</c15:sqref>
                        </c15:formulaRef>
                      </c:ext>
                    </c:extLst>
                    <c:strCache>
                      <c:ptCount val="9"/>
                      <c:pt idx="0">
                        <c:v>5.3. Education</c:v>
                      </c:pt>
                      <c:pt idx="1">
                        <c:v>5.8. Media and Communications</c:v>
                      </c:pt>
                      <c:pt idx="2">
                        <c:v>5.5. Law</c:v>
                      </c:pt>
                      <c:pt idx="3">
                        <c:v>5.9 Other</c:v>
                      </c:pt>
                      <c:pt idx="4">
                        <c:v>5.4. Sociology</c:v>
                      </c:pt>
                      <c:pt idx="5">
                        <c:v>5.1 Psychology and cognitive sciences</c:v>
                      </c:pt>
                      <c:pt idx="6">
                        <c:v>5.2 Economics and Business</c:v>
                      </c:pt>
                      <c:pt idx="7">
                        <c:v>5.6. Political Science</c:v>
                      </c:pt>
                      <c:pt idx="8">
                        <c:v>5.7 Social Geography</c:v>
                      </c:pt>
                    </c:strCache>
                  </c:strRef>
                </c:cat>
                <c:val>
                  <c:numRef>
                    <c:extLst>
                      <c:ext uri="{02D57815-91ED-43cb-92C2-25804820EDAC}">
                        <c15:formulaRef>
                          <c15:sqref>List1!$C$83:$C$91</c15:sqref>
                        </c15:formulaRef>
                      </c:ext>
                    </c:extLst>
                    <c:numCache>
                      <c:formatCode>General</c:formatCode>
                      <c:ptCount val="9"/>
                    </c:numCache>
                  </c:numRef>
                </c:val>
                <c:extLst>
                  <c:ext xmlns:c16="http://schemas.microsoft.com/office/drawing/2014/chart" uri="{C3380CC4-5D6E-409C-BE32-E72D297353CC}">
                    <c16:uniqueId val="{00000002-8F68-4E37-AEB6-61CE83318E83}"/>
                  </c:ext>
                </c:extLst>
              </c15:ser>
            </c15:filteredBarSeries>
          </c:ext>
        </c:extLst>
      </c:barChart>
      <c:catAx>
        <c:axId val="4666169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66617576"/>
        <c:crosses val="autoZero"/>
        <c:auto val="1"/>
        <c:lblAlgn val="ctr"/>
        <c:lblOffset val="100"/>
        <c:noMultiLvlLbl val="0"/>
      </c:catAx>
      <c:valAx>
        <c:axId val="4666175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66616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9F473-AA44-46FF-A253-6C9510266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2925</Words>
  <Characters>17264</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SOU AV CR</Company>
  <LinksUpToDate>false</LinksUpToDate>
  <CharactersWithSpaces>20149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radka.dudova</dc:creator>
  <cp:keywords/>
  <dc:description/>
  <cp:lastModifiedBy>Miholová Kateřina</cp:lastModifiedBy>
  <cp:revision>7</cp:revision>
  <dcterms:created xsi:type="dcterms:W3CDTF">2020-08-26T15:51:00Z</dcterms:created>
  <dcterms:modified xsi:type="dcterms:W3CDTF">2020-09-02T10:48:00Z</dcterms:modified>
</cp:coreProperties>
</file>