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5E14" w14:textId="77777777" w:rsidR="003A10F3" w:rsidRPr="00A02F9B" w:rsidRDefault="003A10F3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14:paraId="6EE04546" w14:textId="77777777" w:rsidR="00A278E8" w:rsidRDefault="00A278E8" w:rsidP="00A278E8">
      <w:pPr>
        <w:pStyle w:val="Nadpis2"/>
        <w:spacing w:before="0" w:after="0" w:line="240" w:lineRule="auto"/>
        <w:jc w:val="center"/>
        <w:rPr>
          <w:rFonts w:ascii="Arial" w:hAnsi="Arial" w:cs="Arial"/>
          <w:i w:val="0"/>
          <w:color w:val="4F81BD"/>
        </w:rPr>
      </w:pPr>
      <w:r w:rsidRPr="00986792">
        <w:rPr>
          <w:rFonts w:ascii="Arial" w:hAnsi="Arial" w:cs="Arial"/>
          <w:i w:val="0"/>
          <w:color w:val="4F81BD"/>
        </w:rPr>
        <w:t xml:space="preserve">Komentář k hodnocení výsledků </w:t>
      </w:r>
      <w:r>
        <w:rPr>
          <w:rFonts w:ascii="Arial" w:hAnsi="Arial" w:cs="Arial"/>
          <w:i w:val="0"/>
          <w:color w:val="4F81BD"/>
        </w:rPr>
        <w:t xml:space="preserve"> v </w:t>
      </w:r>
      <w:r w:rsidRPr="00986792">
        <w:rPr>
          <w:rFonts w:ascii="Arial" w:hAnsi="Arial" w:cs="Arial"/>
          <w:i w:val="0"/>
          <w:color w:val="4F81BD"/>
        </w:rPr>
        <w:t>Modulu 1</w:t>
      </w:r>
    </w:p>
    <w:p w14:paraId="56FE5BEB" w14:textId="08CE56B0" w:rsidR="00A278E8" w:rsidRPr="00A278E8" w:rsidRDefault="00A278E8" w:rsidP="00A278E8">
      <w:pPr>
        <w:pStyle w:val="Nadpis2"/>
        <w:spacing w:before="0" w:after="0" w:line="240" w:lineRule="auto"/>
        <w:jc w:val="center"/>
        <w:rPr>
          <w:rFonts w:ascii="Arial" w:hAnsi="Arial" w:cs="Arial"/>
          <w:i w:val="0"/>
          <w:color w:val="4F81BD"/>
        </w:rPr>
      </w:pPr>
      <w:r w:rsidRPr="00A278E8">
        <w:rPr>
          <w:rFonts w:ascii="Arial" w:hAnsi="Arial" w:cs="Arial"/>
          <w:i w:val="0"/>
          <w:color w:val="4F81BD"/>
        </w:rPr>
        <w:t>Odborný panel 6. Humanities and the Arts</w:t>
      </w:r>
    </w:p>
    <w:p w14:paraId="225115FD" w14:textId="771929DF" w:rsidR="00A278E8" w:rsidRPr="00986792" w:rsidRDefault="00A278E8" w:rsidP="00A278E8">
      <w:pPr>
        <w:pStyle w:val="Nadpis2"/>
        <w:spacing w:before="0" w:after="0" w:line="240" w:lineRule="auto"/>
        <w:jc w:val="center"/>
        <w:rPr>
          <w:rFonts w:ascii="Arial" w:hAnsi="Arial" w:cs="Arial"/>
          <w:i w:val="0"/>
          <w:color w:val="4F81BD"/>
        </w:rPr>
      </w:pPr>
    </w:p>
    <w:p w14:paraId="3C3CE1D3" w14:textId="6309537D" w:rsidR="00A278E8" w:rsidRPr="00A278E8" w:rsidRDefault="00A278E8" w:rsidP="00A27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A278E8">
        <w:rPr>
          <w:rFonts w:ascii="Arial" w:hAnsi="Arial" w:cs="Arial"/>
          <w:b/>
        </w:rPr>
        <w:t>Zpracoval</w:t>
      </w:r>
      <w:r w:rsidRPr="00A278E8">
        <w:rPr>
          <w:rFonts w:ascii="Arial" w:hAnsi="Arial" w:cs="Arial"/>
          <w:b/>
        </w:rPr>
        <w:t xml:space="preserve"> předseda Odborného panelu: p</w:t>
      </w:r>
      <w:r w:rsidRPr="00A278E8">
        <w:rPr>
          <w:rFonts w:ascii="Arial" w:hAnsi="Arial" w:cs="Arial"/>
          <w:b/>
        </w:rPr>
        <w:t>rof. PhDr. Petr Vorel, CSc.</w:t>
      </w:r>
    </w:p>
    <w:p w14:paraId="78E02EAB" w14:textId="4F22AE88" w:rsidR="00A278E8" w:rsidRPr="00A278E8" w:rsidRDefault="00A278E8" w:rsidP="00A278E8">
      <w:pPr>
        <w:rPr>
          <w:rFonts w:ascii="Arial" w:hAnsi="Arial" w:cs="Arial"/>
          <w:b/>
        </w:rPr>
      </w:pPr>
      <w:r w:rsidRPr="00A278E8">
        <w:rPr>
          <w:rFonts w:ascii="Arial" w:hAnsi="Arial" w:cs="Arial"/>
          <w:b/>
        </w:rPr>
        <w:t>Dne: 1</w:t>
      </w:r>
      <w:r w:rsidRPr="00A278E8">
        <w:rPr>
          <w:rFonts w:ascii="Arial" w:hAnsi="Arial" w:cs="Arial"/>
          <w:b/>
        </w:rPr>
        <w:t>9</w:t>
      </w:r>
      <w:r w:rsidRPr="00A278E8">
        <w:rPr>
          <w:rFonts w:ascii="Arial" w:hAnsi="Arial" w:cs="Arial"/>
          <w:b/>
        </w:rPr>
        <w:t>. 7. 2020</w:t>
      </w:r>
    </w:p>
    <w:p w14:paraId="5FF8DEE2" w14:textId="04A0E357" w:rsidR="006F2829" w:rsidRPr="00A02F9B" w:rsidRDefault="00D94BFD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02F9B">
        <w:rPr>
          <w:rFonts w:ascii="Arial" w:hAnsi="Arial" w:cs="Arial"/>
        </w:rPr>
        <w:t>V průbě</w:t>
      </w:r>
      <w:r w:rsidR="006F2829" w:rsidRPr="00A02F9B">
        <w:rPr>
          <w:rFonts w:ascii="Arial" w:hAnsi="Arial" w:cs="Arial"/>
        </w:rPr>
        <w:t>hu roku 2020</w:t>
      </w:r>
      <w:r w:rsidRPr="00A02F9B">
        <w:rPr>
          <w:rFonts w:ascii="Arial" w:hAnsi="Arial" w:cs="Arial"/>
        </w:rPr>
        <w:t xml:space="preserve"> bylo v rámci </w:t>
      </w:r>
      <w:r w:rsidR="006F2829" w:rsidRPr="00A02F9B">
        <w:rPr>
          <w:rFonts w:ascii="Arial" w:hAnsi="Arial" w:cs="Arial"/>
        </w:rPr>
        <w:t>třetího</w:t>
      </w:r>
      <w:r w:rsidRPr="00A02F9B">
        <w:rPr>
          <w:rFonts w:ascii="Arial" w:hAnsi="Arial" w:cs="Arial"/>
        </w:rPr>
        <w:t xml:space="preserve"> roku implementace Metodiky17+  provedeno hodnocení vybraných výsledků Modulu</w:t>
      </w:r>
      <w:r w:rsidR="006F2829" w:rsidRPr="00A02F9B">
        <w:rPr>
          <w:rFonts w:ascii="Arial" w:hAnsi="Arial" w:cs="Arial"/>
        </w:rPr>
        <w:t>1</w:t>
      </w:r>
      <w:r w:rsidR="0078117D" w:rsidRPr="00A02F9B">
        <w:rPr>
          <w:rFonts w:ascii="Arial" w:hAnsi="Arial" w:cs="Arial"/>
        </w:rPr>
        <w:t xml:space="preserve"> [dále M1]</w:t>
      </w:r>
      <w:r w:rsidR="006F2829" w:rsidRPr="00A02F9B">
        <w:rPr>
          <w:rFonts w:ascii="Arial" w:hAnsi="Arial" w:cs="Arial"/>
        </w:rPr>
        <w:t xml:space="preserve">. Tentokrát byly poprvé hodnoceny výsledky bibliometrizovatelné i </w:t>
      </w:r>
      <w:r w:rsidRPr="00A02F9B">
        <w:rPr>
          <w:rFonts w:ascii="Arial" w:hAnsi="Arial" w:cs="Arial"/>
        </w:rPr>
        <w:t xml:space="preserve">nebibliometrizovatelné, a to </w:t>
      </w:r>
      <w:r w:rsidR="006F2829" w:rsidRPr="00A02F9B">
        <w:rPr>
          <w:rFonts w:ascii="Arial" w:hAnsi="Arial" w:cs="Arial"/>
        </w:rPr>
        <w:t xml:space="preserve">jak </w:t>
      </w:r>
      <w:r w:rsidRPr="00A02F9B">
        <w:rPr>
          <w:rFonts w:ascii="Arial" w:hAnsi="Arial" w:cs="Arial"/>
        </w:rPr>
        <w:t>podle kritéria společenské relevance</w:t>
      </w:r>
      <w:r w:rsidR="006F2829" w:rsidRPr="00A02F9B">
        <w:rPr>
          <w:rFonts w:ascii="Arial" w:hAnsi="Arial" w:cs="Arial"/>
        </w:rPr>
        <w:t>, tak</w:t>
      </w:r>
      <w:r w:rsidR="004D31A2">
        <w:rPr>
          <w:rFonts w:ascii="Arial" w:hAnsi="Arial" w:cs="Arial"/>
        </w:rPr>
        <w:t> </w:t>
      </w:r>
      <w:r w:rsidR="006F2829" w:rsidRPr="00A02F9B">
        <w:rPr>
          <w:rFonts w:ascii="Arial" w:hAnsi="Arial" w:cs="Arial"/>
        </w:rPr>
        <w:t>podle</w:t>
      </w:r>
      <w:r w:rsidRPr="00A02F9B">
        <w:rPr>
          <w:rFonts w:ascii="Arial" w:hAnsi="Arial" w:cs="Arial"/>
        </w:rPr>
        <w:t xml:space="preserve"> kritéria př</w:t>
      </w:r>
      <w:r w:rsidR="006F2829" w:rsidRPr="00A02F9B">
        <w:rPr>
          <w:rFonts w:ascii="Arial" w:hAnsi="Arial" w:cs="Arial"/>
        </w:rPr>
        <w:t>ínosu k poznání. Výzkumné organizace mohly tentokrát poprvé vybírat výsledky z předchozího pětiletého období (pokud nebyly hodnoceny již v předchozích letech).</w:t>
      </w:r>
      <w:r w:rsidR="00324930" w:rsidRPr="00A02F9B">
        <w:rPr>
          <w:rFonts w:ascii="Arial" w:hAnsi="Arial" w:cs="Arial"/>
        </w:rPr>
        <w:t xml:space="preserve"> </w:t>
      </w:r>
    </w:p>
    <w:p w14:paraId="698B7817" w14:textId="0DAB6C6F" w:rsidR="00E27965" w:rsidRPr="00A02F9B" w:rsidRDefault="00D94BFD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02F9B">
        <w:rPr>
          <w:rFonts w:ascii="Arial" w:hAnsi="Arial" w:cs="Arial"/>
        </w:rPr>
        <w:t>Technick</w:t>
      </w:r>
      <w:r w:rsidR="00324930" w:rsidRPr="00A02F9B">
        <w:rPr>
          <w:rFonts w:ascii="Arial" w:hAnsi="Arial" w:cs="Arial"/>
        </w:rPr>
        <w:t xml:space="preserve">é zajištění </w:t>
      </w:r>
      <w:r w:rsidR="00B66426" w:rsidRPr="00A02F9B">
        <w:rPr>
          <w:rFonts w:ascii="Arial" w:hAnsi="Arial" w:cs="Arial"/>
        </w:rPr>
        <w:t>hodnotícího procesu bylo</w:t>
      </w:r>
      <w:r w:rsidRPr="00A02F9B">
        <w:rPr>
          <w:rFonts w:ascii="Arial" w:hAnsi="Arial" w:cs="Arial"/>
        </w:rPr>
        <w:t xml:space="preserve"> </w:t>
      </w:r>
      <w:r w:rsidR="00B66426" w:rsidRPr="00A02F9B">
        <w:rPr>
          <w:rFonts w:ascii="Arial" w:hAnsi="Arial" w:cs="Arial"/>
        </w:rPr>
        <w:t>zvládnuto</w:t>
      </w:r>
      <w:r w:rsidRPr="00A02F9B">
        <w:rPr>
          <w:rFonts w:ascii="Arial" w:hAnsi="Arial" w:cs="Arial"/>
        </w:rPr>
        <w:t xml:space="preserve"> bez problémů</w:t>
      </w:r>
      <w:r w:rsidR="00324930" w:rsidRPr="00A02F9B">
        <w:rPr>
          <w:rFonts w:ascii="Arial" w:hAnsi="Arial" w:cs="Arial"/>
        </w:rPr>
        <w:t xml:space="preserve"> i přes obecné komplikace, které od počátku března způsobovala celé společnosti koronavirová epidemie. Na</w:t>
      </w:r>
      <w:r w:rsidR="004D31A2">
        <w:rPr>
          <w:rFonts w:ascii="Arial" w:hAnsi="Arial" w:cs="Arial"/>
        </w:rPr>
        <w:t> </w:t>
      </w:r>
      <w:r w:rsidRPr="00A02F9B">
        <w:rPr>
          <w:rFonts w:ascii="Arial" w:hAnsi="Arial" w:cs="Arial"/>
        </w:rPr>
        <w:t>straně</w:t>
      </w:r>
      <w:r w:rsidR="003A10F3" w:rsidRPr="00A02F9B">
        <w:rPr>
          <w:rFonts w:ascii="Arial" w:hAnsi="Arial" w:cs="Arial"/>
        </w:rPr>
        <w:t xml:space="preserve"> </w:t>
      </w:r>
      <w:r w:rsidRPr="00A02F9B">
        <w:rPr>
          <w:rFonts w:ascii="Arial" w:hAnsi="Arial" w:cs="Arial"/>
        </w:rPr>
        <w:t>technické administrace</w:t>
      </w:r>
      <w:r w:rsidR="00324930" w:rsidRPr="00A02F9B">
        <w:rPr>
          <w:rFonts w:ascii="Arial" w:hAnsi="Arial" w:cs="Arial"/>
        </w:rPr>
        <w:t xml:space="preserve">, členů panelu i externích hodnotitelů </w:t>
      </w:r>
      <w:r w:rsidRPr="00A02F9B">
        <w:rPr>
          <w:rFonts w:ascii="Arial" w:hAnsi="Arial" w:cs="Arial"/>
        </w:rPr>
        <w:t xml:space="preserve"> byly zohledněny zkušenosti z</w:t>
      </w:r>
      <w:r w:rsidR="00324930" w:rsidRPr="00A02F9B">
        <w:rPr>
          <w:rFonts w:ascii="Arial" w:hAnsi="Arial" w:cs="Arial"/>
        </w:rPr>
        <w:t> </w:t>
      </w:r>
      <w:r w:rsidRPr="00A02F9B">
        <w:rPr>
          <w:rFonts w:ascii="Arial" w:hAnsi="Arial" w:cs="Arial"/>
        </w:rPr>
        <w:t>předchozí</w:t>
      </w:r>
      <w:r w:rsidR="00324930" w:rsidRPr="00A02F9B">
        <w:rPr>
          <w:rFonts w:ascii="Arial" w:hAnsi="Arial" w:cs="Arial"/>
        </w:rPr>
        <w:t xml:space="preserve">ch dvou let; dílčí drobné nejasnosti či technické nedokonalosti systému byly řešeny operativně a rychle. Hodnotící proces byl zahájen v průběhu </w:t>
      </w:r>
      <w:r w:rsidR="00E21AE3" w:rsidRPr="00A02F9B">
        <w:rPr>
          <w:rFonts w:ascii="Arial" w:hAnsi="Arial" w:cs="Arial"/>
        </w:rPr>
        <w:t xml:space="preserve">druhého </w:t>
      </w:r>
      <w:r w:rsidR="00324930" w:rsidRPr="00A02F9B">
        <w:rPr>
          <w:rFonts w:ascii="Arial" w:hAnsi="Arial" w:cs="Arial"/>
        </w:rPr>
        <w:t>únor</w:t>
      </w:r>
      <w:r w:rsidR="00E21AE3" w:rsidRPr="00A02F9B">
        <w:rPr>
          <w:rFonts w:ascii="Arial" w:hAnsi="Arial" w:cs="Arial"/>
        </w:rPr>
        <w:t xml:space="preserve">ového týdne, kdy bylo členům OP rozesláno </w:t>
      </w:r>
      <w:r w:rsidR="00324930" w:rsidRPr="00A02F9B">
        <w:rPr>
          <w:rFonts w:ascii="Arial" w:hAnsi="Arial" w:cs="Arial"/>
        </w:rPr>
        <w:t xml:space="preserve">přístupové heslo do systému </w:t>
      </w:r>
      <w:r w:rsidR="00E27965" w:rsidRPr="00A02F9B">
        <w:rPr>
          <w:rFonts w:ascii="Arial" w:hAnsi="Arial" w:cs="Arial"/>
        </w:rPr>
        <w:t>(</w:t>
      </w:r>
      <w:r w:rsidR="00324930" w:rsidRPr="00A02F9B">
        <w:rPr>
          <w:rFonts w:ascii="Arial" w:hAnsi="Arial" w:cs="Arial"/>
        </w:rPr>
        <w:t>11. února 2020).</w:t>
      </w:r>
      <w:r w:rsidR="00E27965" w:rsidRPr="00A02F9B">
        <w:rPr>
          <w:rFonts w:ascii="Arial" w:hAnsi="Arial" w:cs="Arial"/>
        </w:rPr>
        <w:t xml:space="preserve"> Po</w:t>
      </w:r>
      <w:r w:rsidR="004D31A2">
        <w:rPr>
          <w:rFonts w:ascii="Arial" w:hAnsi="Arial" w:cs="Arial"/>
        </w:rPr>
        <w:t> </w:t>
      </w:r>
      <w:r w:rsidR="00E27965" w:rsidRPr="00A02F9B">
        <w:rPr>
          <w:rFonts w:ascii="Arial" w:hAnsi="Arial" w:cs="Arial"/>
        </w:rPr>
        <w:t xml:space="preserve">seznámení se s databází hodnocených výsledků byla zorganizována první společná schůze všech členů oborového panelu OP6 a zástupců technické administrace z Úřadu vlády (ve středu 26. února 2020), na které byly vysvětleny drobné technické změny systému v letošním roce a upřesněn postup hodnocení.  Následné celostátní plošné vyhlášení karanténních opatření (11. března 2020) další průběh hodnocení neohrozilo, i když se panel v průběhu jarních měsíců nemohl </w:t>
      </w:r>
      <w:r w:rsidR="00B66426" w:rsidRPr="00A02F9B">
        <w:rPr>
          <w:rFonts w:ascii="Arial" w:hAnsi="Arial" w:cs="Arial"/>
        </w:rPr>
        <w:t xml:space="preserve">fyzicky </w:t>
      </w:r>
      <w:r w:rsidR="00E27965" w:rsidRPr="00A02F9B">
        <w:rPr>
          <w:rFonts w:ascii="Arial" w:hAnsi="Arial" w:cs="Arial"/>
        </w:rPr>
        <w:t>sejít (komunikace probíhala mailem a telefonicky). Počátkem června 2020 byly již téměř všechny výsledky zhodnoceny a ze strany garantů navrženy výsledné známky. S aktuálním stavem hodnocení v rámci OP6 byli členové panelu seznámeni na společné schůzce, konané opět za účasti zástupců technické administrace z Úřadu vlády ve středu 3. června 2020. Předseda OP6 vyhodnotil dosavadní průběh a navrhl postup závěrečného „váhování“ výsledků mezi jednotlivými obory uvnitř OP6. Tento proces proběhl v součinnosti s garanty M1 do konce června 2020, kdy byl hodnotící proces uzavřen s následujícími výsledky:</w:t>
      </w:r>
    </w:p>
    <w:p w14:paraId="268AEB17" w14:textId="77777777" w:rsidR="000F01F6" w:rsidRPr="00A02F9B" w:rsidRDefault="000F01F6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17"/>
        <w:gridCol w:w="1017"/>
        <w:gridCol w:w="1017"/>
        <w:gridCol w:w="1017"/>
        <w:gridCol w:w="1017"/>
        <w:gridCol w:w="1017"/>
        <w:gridCol w:w="1018"/>
      </w:tblGrid>
      <w:tr w:rsidR="000F01F6" w:rsidRPr="00A02F9B" w14:paraId="2A961F78" w14:textId="77777777" w:rsidTr="00474C8D">
        <w:trPr>
          <w:trHeight w:val="20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6997F0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 Sub-ford</w:t>
            </w:r>
          </w:p>
        </w:tc>
        <w:tc>
          <w:tcPr>
            <w:tcW w:w="6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F6B012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Výsledné počty hodnocení v roce 2020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CD933B" w14:textId="77777777" w:rsidR="000F01F6" w:rsidRPr="00A02F9B" w:rsidRDefault="000F01F6" w:rsidP="00A02F9B">
            <w:pPr>
              <w:ind w:right="170"/>
              <w:jc w:val="both"/>
              <w:rPr>
                <w:rFonts w:ascii="Arial" w:hAnsi="Arial" w:cs="Arial"/>
                <w:b/>
                <w:bCs/>
              </w:rPr>
            </w:pPr>
            <w:r w:rsidRPr="00A02F9B"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0F01F6" w:rsidRPr="00A02F9B" w14:paraId="3CBCF707" w14:textId="77777777" w:rsidTr="00474C8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1FAAF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3AFF56" w14:textId="77777777" w:rsidR="000F01F6" w:rsidRPr="00A02F9B" w:rsidRDefault="000F01F6" w:rsidP="00A02F9B">
            <w:pPr>
              <w:jc w:val="both"/>
              <w:rPr>
                <w:rFonts w:ascii="Arial" w:hAnsi="Arial" w:cs="Arial"/>
                <w:b/>
              </w:rPr>
            </w:pPr>
            <w:r w:rsidRPr="00A02F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62786E" w14:textId="77777777" w:rsidR="000F01F6" w:rsidRPr="00A02F9B" w:rsidRDefault="000F01F6" w:rsidP="00A02F9B">
            <w:pPr>
              <w:jc w:val="both"/>
              <w:rPr>
                <w:rFonts w:ascii="Arial" w:hAnsi="Arial" w:cs="Arial"/>
                <w:b/>
              </w:rPr>
            </w:pPr>
            <w:r w:rsidRPr="00A02F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B30D46" w14:textId="77777777" w:rsidR="000F01F6" w:rsidRPr="00A02F9B" w:rsidRDefault="000F01F6" w:rsidP="00A02F9B">
            <w:pPr>
              <w:jc w:val="both"/>
              <w:rPr>
                <w:rFonts w:ascii="Arial" w:hAnsi="Arial" w:cs="Arial"/>
                <w:b/>
              </w:rPr>
            </w:pPr>
            <w:r w:rsidRPr="00A02F9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10ECE6" w14:textId="77777777" w:rsidR="000F01F6" w:rsidRPr="00A02F9B" w:rsidRDefault="000F01F6" w:rsidP="00A02F9B">
            <w:pPr>
              <w:jc w:val="both"/>
              <w:rPr>
                <w:rFonts w:ascii="Arial" w:hAnsi="Arial" w:cs="Arial"/>
                <w:b/>
              </w:rPr>
            </w:pPr>
            <w:r w:rsidRPr="00A02F9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5D35C8" w14:textId="77777777" w:rsidR="000F01F6" w:rsidRPr="00A02F9B" w:rsidRDefault="000F01F6" w:rsidP="00A02F9B">
            <w:pPr>
              <w:jc w:val="both"/>
              <w:rPr>
                <w:rFonts w:ascii="Arial" w:hAnsi="Arial" w:cs="Arial"/>
                <w:b/>
              </w:rPr>
            </w:pPr>
            <w:r w:rsidRPr="00A02F9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E51333" w14:textId="77777777" w:rsidR="000F01F6" w:rsidRPr="00A02F9B" w:rsidRDefault="000F01F6" w:rsidP="00A02F9B">
            <w:pPr>
              <w:jc w:val="both"/>
              <w:rPr>
                <w:rFonts w:ascii="Arial" w:hAnsi="Arial" w:cs="Arial"/>
                <w:b/>
              </w:rPr>
            </w:pPr>
            <w:r w:rsidRPr="00A02F9B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E4153" w14:textId="77777777" w:rsidR="000F01F6" w:rsidRPr="00A02F9B" w:rsidRDefault="000F01F6" w:rsidP="00A02F9B">
            <w:pPr>
              <w:ind w:right="170"/>
              <w:jc w:val="both"/>
              <w:rPr>
                <w:rFonts w:ascii="Arial" w:hAnsi="Arial" w:cs="Arial"/>
              </w:rPr>
            </w:pPr>
          </w:p>
        </w:tc>
      </w:tr>
      <w:tr w:rsidR="000F01F6" w:rsidRPr="00A02F9B" w14:paraId="1A04A58D" w14:textId="77777777" w:rsidTr="000F01F6">
        <w:trPr>
          <w:trHeight w:val="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5D9458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10D4C6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BFA3D9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FD6F4E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A3FB5F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F450E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38DFE3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1CAFA" w14:textId="77777777" w:rsidR="000F01F6" w:rsidRPr="00A02F9B" w:rsidRDefault="000F01F6" w:rsidP="00A02F9B">
            <w:pPr>
              <w:ind w:right="170"/>
              <w:jc w:val="both"/>
              <w:rPr>
                <w:rFonts w:ascii="Arial" w:hAnsi="Arial" w:cs="Arial"/>
                <w:b/>
                <w:bCs/>
              </w:rPr>
            </w:pPr>
            <w:r w:rsidRPr="00A02F9B">
              <w:rPr>
                <w:rFonts w:ascii="Arial" w:hAnsi="Arial" w:cs="Arial"/>
                <w:b/>
                <w:bCs/>
              </w:rPr>
              <w:t>137</w:t>
            </w:r>
          </w:p>
        </w:tc>
      </w:tr>
      <w:tr w:rsidR="000F01F6" w:rsidRPr="00A02F9B" w14:paraId="45473C6C" w14:textId="77777777" w:rsidTr="000F01F6">
        <w:trPr>
          <w:trHeight w:val="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4FC5B3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6.2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6035B2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F8ED6A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B8F02C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E29AC8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58B97B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D080D1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AC9A9" w14:textId="77777777" w:rsidR="000F01F6" w:rsidRPr="00A02F9B" w:rsidRDefault="000F01F6" w:rsidP="00A02F9B">
            <w:pPr>
              <w:ind w:right="170"/>
              <w:jc w:val="both"/>
              <w:rPr>
                <w:rFonts w:ascii="Arial" w:hAnsi="Arial" w:cs="Arial"/>
                <w:b/>
                <w:bCs/>
              </w:rPr>
            </w:pPr>
            <w:r w:rsidRPr="00A02F9B">
              <w:rPr>
                <w:rFonts w:ascii="Arial" w:hAnsi="Arial" w:cs="Arial"/>
                <w:b/>
                <w:bCs/>
              </w:rPr>
              <w:t>124</w:t>
            </w:r>
          </w:p>
        </w:tc>
      </w:tr>
      <w:tr w:rsidR="000F01F6" w:rsidRPr="00A02F9B" w14:paraId="060E1CA2" w14:textId="77777777" w:rsidTr="000F01F6">
        <w:trPr>
          <w:trHeight w:val="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5E7E1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6.3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FD8B1E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CEB259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9CDFDD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4511D4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C9C51D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9BADDF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A10AA" w14:textId="77777777" w:rsidR="000F01F6" w:rsidRPr="00A02F9B" w:rsidRDefault="000F01F6" w:rsidP="00A02F9B">
            <w:pPr>
              <w:ind w:right="170"/>
              <w:jc w:val="both"/>
              <w:rPr>
                <w:rFonts w:ascii="Arial" w:hAnsi="Arial" w:cs="Arial"/>
                <w:b/>
                <w:bCs/>
              </w:rPr>
            </w:pPr>
            <w:r w:rsidRPr="00A02F9B">
              <w:rPr>
                <w:rFonts w:ascii="Arial" w:hAnsi="Arial" w:cs="Arial"/>
                <w:b/>
                <w:bCs/>
              </w:rPr>
              <w:t>82</w:t>
            </w:r>
          </w:p>
        </w:tc>
      </w:tr>
      <w:tr w:rsidR="000F01F6" w:rsidRPr="00A02F9B" w14:paraId="4FEE965F" w14:textId="77777777" w:rsidTr="000F01F6">
        <w:trPr>
          <w:trHeight w:val="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6D2247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6.4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C8FD2D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A552BB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63B04A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6EF75A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1403E5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E65DFB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02E57" w14:textId="77777777" w:rsidR="000F01F6" w:rsidRPr="00A02F9B" w:rsidRDefault="000F01F6" w:rsidP="00A02F9B">
            <w:pPr>
              <w:ind w:right="170"/>
              <w:jc w:val="both"/>
              <w:rPr>
                <w:rFonts w:ascii="Arial" w:hAnsi="Arial" w:cs="Arial"/>
                <w:b/>
                <w:bCs/>
              </w:rPr>
            </w:pPr>
            <w:r w:rsidRPr="00A02F9B">
              <w:rPr>
                <w:rFonts w:ascii="Arial" w:hAnsi="Arial" w:cs="Arial"/>
                <w:b/>
                <w:bCs/>
              </w:rPr>
              <w:t>105</w:t>
            </w:r>
          </w:p>
        </w:tc>
      </w:tr>
      <w:tr w:rsidR="000F01F6" w:rsidRPr="00A02F9B" w14:paraId="31ED3200" w14:textId="77777777" w:rsidTr="000F01F6">
        <w:trPr>
          <w:trHeight w:val="2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0BA164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6.5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3B3BDD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747284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59F4A3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0B0461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B3DE0C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5A3FE8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52A769" w14:textId="77777777" w:rsidR="000F01F6" w:rsidRPr="00A02F9B" w:rsidRDefault="000F01F6" w:rsidP="00A02F9B">
            <w:pPr>
              <w:ind w:right="170"/>
              <w:jc w:val="both"/>
              <w:rPr>
                <w:rFonts w:ascii="Arial" w:hAnsi="Arial" w:cs="Arial"/>
                <w:b/>
                <w:bCs/>
              </w:rPr>
            </w:pPr>
            <w:r w:rsidRPr="00A02F9B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F01F6" w:rsidRPr="00A02F9B" w14:paraId="57C4CB12" w14:textId="77777777" w:rsidTr="000F01F6">
        <w:trPr>
          <w:trHeight w:val="421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A3EF15" w14:textId="77777777" w:rsidR="000F01F6" w:rsidRPr="00A02F9B" w:rsidRDefault="000F01F6" w:rsidP="00A02F9B">
            <w:pPr>
              <w:jc w:val="both"/>
              <w:rPr>
                <w:rFonts w:ascii="Arial" w:hAnsi="Arial" w:cs="Arial"/>
                <w:b/>
              </w:rPr>
            </w:pPr>
            <w:r w:rsidRPr="00A02F9B">
              <w:rPr>
                <w:rFonts w:ascii="Arial" w:hAnsi="Arial" w:cs="Arial"/>
                <w:b/>
                <w:bCs/>
              </w:rPr>
              <w:t>∑ OP6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17E499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A9B80A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65E94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163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732D9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169BEE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8BEEB" w14:textId="77777777" w:rsidR="000F01F6" w:rsidRPr="00A02F9B" w:rsidRDefault="000F01F6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7125D2" w14:textId="77777777" w:rsidR="000F01F6" w:rsidRPr="00A02F9B" w:rsidRDefault="000F01F6" w:rsidP="00A02F9B">
            <w:pPr>
              <w:ind w:right="170"/>
              <w:jc w:val="both"/>
              <w:rPr>
                <w:rFonts w:ascii="Arial" w:hAnsi="Arial" w:cs="Arial"/>
                <w:b/>
                <w:bCs/>
              </w:rPr>
            </w:pPr>
            <w:r w:rsidRPr="00A02F9B">
              <w:rPr>
                <w:rFonts w:ascii="Arial" w:hAnsi="Arial" w:cs="Arial"/>
                <w:b/>
                <w:bCs/>
              </w:rPr>
              <w:t>452</w:t>
            </w:r>
          </w:p>
        </w:tc>
      </w:tr>
    </w:tbl>
    <w:p w14:paraId="33AF4CF4" w14:textId="77777777" w:rsidR="000F01F6" w:rsidRPr="00A02F9B" w:rsidRDefault="000F01F6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6727F731" w14:textId="77777777" w:rsidR="00E27965" w:rsidRPr="00A02F9B" w:rsidRDefault="00E27965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034308BE" w14:textId="77777777" w:rsidR="00E27965" w:rsidRPr="00A02F9B" w:rsidRDefault="00E27965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3DB310C1" w14:textId="77777777" w:rsidR="00E27965" w:rsidRPr="00A02F9B" w:rsidRDefault="00E27965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19968AA5" w14:textId="77777777" w:rsidR="00D94BFD" w:rsidRPr="00A02F9B" w:rsidRDefault="00E27965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02F9B">
        <w:rPr>
          <w:rFonts w:ascii="Arial" w:hAnsi="Arial" w:cs="Arial"/>
        </w:rPr>
        <w:t xml:space="preserve"> </w:t>
      </w:r>
    </w:p>
    <w:p w14:paraId="3F518DD8" w14:textId="77777777" w:rsidR="00E27965" w:rsidRPr="00A02F9B" w:rsidRDefault="00E27965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36BB7042" w14:textId="77777777" w:rsidR="000F01F6" w:rsidRPr="00A02F9B" w:rsidRDefault="000F01F6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02F9B">
        <w:rPr>
          <w:rFonts w:ascii="Arial" w:hAnsi="Arial" w:cs="Arial"/>
        </w:rPr>
        <w:lastRenderedPageBreak/>
        <w:t>Třetí</w:t>
      </w:r>
      <w:r w:rsidR="00D94BFD" w:rsidRPr="00A02F9B">
        <w:rPr>
          <w:rFonts w:ascii="Arial" w:hAnsi="Arial" w:cs="Arial"/>
        </w:rPr>
        <w:t xml:space="preserve"> rok implementace přinesl v rámci Modulu-1 v 6. vědní </w:t>
      </w:r>
      <w:r w:rsidRPr="00A02F9B">
        <w:rPr>
          <w:rFonts w:ascii="Arial" w:hAnsi="Arial" w:cs="Arial"/>
        </w:rPr>
        <w:t xml:space="preserve">oblasti </w:t>
      </w:r>
      <w:r w:rsidR="00D94BFD" w:rsidRPr="00A02F9B">
        <w:rPr>
          <w:rFonts w:ascii="Arial" w:hAnsi="Arial" w:cs="Arial"/>
        </w:rPr>
        <w:t>několik novinek, které</w:t>
      </w:r>
      <w:r w:rsidR="003A10F3" w:rsidRPr="00A02F9B">
        <w:rPr>
          <w:rFonts w:ascii="Arial" w:hAnsi="Arial" w:cs="Arial"/>
        </w:rPr>
        <w:t xml:space="preserve"> </w:t>
      </w:r>
      <w:r w:rsidRPr="00A02F9B">
        <w:rPr>
          <w:rFonts w:ascii="Arial" w:hAnsi="Arial" w:cs="Arial"/>
        </w:rPr>
        <w:t xml:space="preserve">se </w:t>
      </w:r>
      <w:r w:rsidR="00D94BFD" w:rsidRPr="00A02F9B">
        <w:rPr>
          <w:rFonts w:ascii="Arial" w:hAnsi="Arial" w:cs="Arial"/>
        </w:rPr>
        <w:t xml:space="preserve">promítly </w:t>
      </w:r>
      <w:r w:rsidRPr="00A02F9B">
        <w:rPr>
          <w:rFonts w:ascii="Arial" w:hAnsi="Arial" w:cs="Arial"/>
        </w:rPr>
        <w:t>do struktury výsledků. Menší vliv na strukturu výsledků měla možnost vykazovat do M1 i výsledky bibliometrizovatelné. Výsledků tohoto typu bylo vykázáno velmi malé množství (</w:t>
      </w:r>
      <w:r w:rsidR="00B66426" w:rsidRPr="00A02F9B">
        <w:rPr>
          <w:rFonts w:ascii="Arial" w:hAnsi="Arial" w:cs="Arial"/>
        </w:rPr>
        <w:t xml:space="preserve">zpravidla </w:t>
      </w:r>
      <w:r w:rsidRPr="00A02F9B">
        <w:rPr>
          <w:rFonts w:ascii="Arial" w:hAnsi="Arial" w:cs="Arial"/>
        </w:rPr>
        <w:t xml:space="preserve">podle kritéria „přínos k poznání“), neboť pro 6. vědní oblast nepředstavují hlavní typ publikační činnosti. Do struktury výsledků výrazněji zasáhla možnost vybírat do M1 výsledky za předchozích pět let. Tato změna umožnila VO vybírat z většího množství dříve uplatněných výsledků, což se odrazilo výraznější změnou proporcí především v segmentu </w:t>
      </w:r>
      <w:r w:rsidR="008A23DD" w:rsidRPr="00A02F9B">
        <w:rPr>
          <w:rFonts w:ascii="Arial" w:hAnsi="Arial" w:cs="Arial"/>
        </w:rPr>
        <w:t>výsledků hodnocený</w:t>
      </w:r>
      <w:r w:rsidRPr="00A02F9B">
        <w:rPr>
          <w:rFonts w:ascii="Arial" w:hAnsi="Arial" w:cs="Arial"/>
        </w:rPr>
        <w:t>ch nejhůře (známkou „4“ a „5“)</w:t>
      </w:r>
      <w:r w:rsidR="008A23DD" w:rsidRPr="00A02F9B">
        <w:rPr>
          <w:rFonts w:ascii="Arial" w:hAnsi="Arial" w:cs="Arial"/>
        </w:rPr>
        <w:t>. J</w:t>
      </w:r>
      <w:r w:rsidRPr="00A02F9B">
        <w:rPr>
          <w:rFonts w:ascii="Arial" w:hAnsi="Arial" w:cs="Arial"/>
        </w:rPr>
        <w:t>ejich</w:t>
      </w:r>
      <w:r w:rsidR="008A23DD" w:rsidRPr="00A02F9B">
        <w:rPr>
          <w:rFonts w:ascii="Arial" w:hAnsi="Arial" w:cs="Arial"/>
        </w:rPr>
        <w:t xml:space="preserve"> </w:t>
      </w:r>
      <w:r w:rsidRPr="00A02F9B">
        <w:rPr>
          <w:rFonts w:ascii="Arial" w:hAnsi="Arial" w:cs="Arial"/>
        </w:rPr>
        <w:t xml:space="preserve">počet výrazně poklesl ve prospěch výsledků hodnocených stupněm „2“. </w:t>
      </w:r>
      <w:r w:rsidR="0013125C" w:rsidRPr="00A02F9B">
        <w:rPr>
          <w:rFonts w:ascii="Arial" w:hAnsi="Arial" w:cs="Arial"/>
        </w:rPr>
        <w:t xml:space="preserve">V kategorii výsledků excelentních („hodnocených „1“) výrazná proporční změna nenastala, stejně jako v kategorii „3“. </w:t>
      </w:r>
      <w:r w:rsidR="008A23DD" w:rsidRPr="00A02F9B">
        <w:rPr>
          <w:rFonts w:ascii="Arial" w:hAnsi="Arial" w:cs="Arial"/>
        </w:rPr>
        <w:t>Konkrétní s</w:t>
      </w:r>
      <w:r w:rsidR="0013125C" w:rsidRPr="00A02F9B">
        <w:rPr>
          <w:rFonts w:ascii="Arial" w:hAnsi="Arial" w:cs="Arial"/>
        </w:rPr>
        <w:t>rovnání výsledků letošního roku s prvními dvěma lety implementace zobrazuje následující tabulka</w:t>
      </w:r>
      <w:r w:rsidR="00713A56" w:rsidRPr="00A02F9B">
        <w:rPr>
          <w:rFonts w:ascii="Arial" w:hAnsi="Arial" w:cs="Arial"/>
        </w:rPr>
        <w:t>:</w:t>
      </w:r>
    </w:p>
    <w:p w14:paraId="4FCE772E" w14:textId="77777777" w:rsidR="008A23DD" w:rsidRPr="00A02F9B" w:rsidRDefault="008A23DD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8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864"/>
        <w:gridCol w:w="1120"/>
        <w:gridCol w:w="1121"/>
        <w:gridCol w:w="1121"/>
        <w:gridCol w:w="1110"/>
        <w:gridCol w:w="981"/>
        <w:gridCol w:w="1181"/>
      </w:tblGrid>
      <w:tr w:rsidR="008A23DD" w:rsidRPr="00A02F9B" w14:paraId="1686D208" w14:textId="77777777" w:rsidTr="008A23DD">
        <w:trPr>
          <w:trHeight w:val="41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BF0C6F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 OP6 – M1</w:t>
            </w:r>
          </w:p>
        </w:tc>
        <w:tc>
          <w:tcPr>
            <w:tcW w:w="74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4CC74E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Hodnocení – (počet procent)</w:t>
            </w:r>
          </w:p>
        </w:tc>
      </w:tr>
      <w:tr w:rsidR="008A23DD" w:rsidRPr="00A02F9B" w14:paraId="6A2697AE" w14:textId="77777777" w:rsidTr="008A23DD">
        <w:trPr>
          <w:trHeight w:val="55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343673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období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19C6CC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EC64F6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EA1DF1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8B6199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2BE327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B62E54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C1A37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∑ </w:t>
            </w:r>
          </w:p>
        </w:tc>
      </w:tr>
      <w:tr w:rsidR="008A23DD" w:rsidRPr="00A02F9B" w14:paraId="4E1BFEC0" w14:textId="77777777" w:rsidTr="008A23DD">
        <w:trPr>
          <w:trHeight w:val="95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95D709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2017-18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675288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54</w:t>
            </w:r>
          </w:p>
          <w:p w14:paraId="56D5F236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(4,1%)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9F468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 xml:space="preserve">407 </w:t>
            </w:r>
          </w:p>
          <w:p w14:paraId="40E21E1C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(30,6%)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A9FA54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 xml:space="preserve">479 </w:t>
            </w:r>
          </w:p>
          <w:p w14:paraId="3CF54068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(36,0%)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B4B218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 xml:space="preserve">274 </w:t>
            </w:r>
          </w:p>
          <w:p w14:paraId="5A21142A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(20,6%)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0F7A1B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101</w:t>
            </w:r>
          </w:p>
          <w:p w14:paraId="66CC3865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(7,5%)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9C6BAF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 xml:space="preserve">16 </w:t>
            </w:r>
          </w:p>
          <w:p w14:paraId="62DBEF1D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(1,2%)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123DF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1331</w:t>
            </w:r>
          </w:p>
          <w:p w14:paraId="5179F0E9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(100%)</w:t>
            </w:r>
          </w:p>
        </w:tc>
      </w:tr>
      <w:tr w:rsidR="008A23DD" w:rsidRPr="00A02F9B" w14:paraId="52F2C2D1" w14:textId="77777777" w:rsidTr="008A23DD">
        <w:trPr>
          <w:trHeight w:val="81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08D901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 xml:space="preserve">2019 </w:t>
            </w:r>
          </w:p>
          <w:p w14:paraId="2579B942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C4CDCD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 xml:space="preserve">21 </w:t>
            </w:r>
          </w:p>
          <w:p w14:paraId="1E180D7D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>(4,6%)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CA29FD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178</w:t>
            </w:r>
          </w:p>
          <w:p w14:paraId="35B97D84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  <w:bCs/>
              </w:rPr>
              <w:t xml:space="preserve"> (39,4%)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110A0B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163</w:t>
            </w:r>
          </w:p>
          <w:p w14:paraId="30BB20B6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 xml:space="preserve"> (36,1%)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E2C25B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61</w:t>
            </w:r>
          </w:p>
          <w:p w14:paraId="3746E78A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(13,5%)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2D61BD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 xml:space="preserve">24 </w:t>
            </w:r>
          </w:p>
          <w:p w14:paraId="060B69E1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(5,3%)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E98486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5</w:t>
            </w:r>
          </w:p>
          <w:p w14:paraId="5F8DF3D3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(1,1%)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CFDC43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 xml:space="preserve">452 </w:t>
            </w:r>
          </w:p>
          <w:p w14:paraId="3841E4C9" w14:textId="77777777" w:rsidR="008A23DD" w:rsidRPr="00A02F9B" w:rsidRDefault="008A23DD" w:rsidP="00A02F9B">
            <w:pPr>
              <w:jc w:val="both"/>
              <w:rPr>
                <w:rFonts w:ascii="Arial" w:hAnsi="Arial" w:cs="Arial"/>
              </w:rPr>
            </w:pPr>
            <w:r w:rsidRPr="00A02F9B">
              <w:rPr>
                <w:rFonts w:ascii="Arial" w:hAnsi="Arial" w:cs="Arial"/>
              </w:rPr>
              <w:t>(100%)</w:t>
            </w:r>
          </w:p>
        </w:tc>
      </w:tr>
    </w:tbl>
    <w:p w14:paraId="4628B6EC" w14:textId="77777777" w:rsidR="008A23DD" w:rsidRPr="00A02F9B" w:rsidRDefault="008A23DD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22FE6443" w14:textId="2BABAF54" w:rsidR="00713A56" w:rsidRPr="00A02F9B" w:rsidRDefault="008A23DD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02F9B">
        <w:rPr>
          <w:rFonts w:ascii="Arial" w:hAnsi="Arial" w:cs="Arial"/>
        </w:rPr>
        <w:t>V rámci letošního roku došlo k významné obsahové změně v případě hodnocení výsledku známkou „N“. V prvních dvou letech implementace se tímto hodnocením rozuměl výsledek, který nebylo možné z objektivních důvodů hodnotit (nejčastěji z důvodů jazykových, kdy byl výsledek zveřejněn v</w:t>
      </w:r>
      <w:r w:rsidR="00B66426" w:rsidRPr="00A02F9B">
        <w:rPr>
          <w:rFonts w:ascii="Arial" w:hAnsi="Arial" w:cs="Arial"/>
        </w:rPr>
        <w:t> méně obvyklém jazyce a pro jeho zhodnocení nebylo možné v nastaveném časovém rámci najít vhodné</w:t>
      </w:r>
      <w:r w:rsidR="0078117D" w:rsidRPr="00A02F9B">
        <w:rPr>
          <w:rFonts w:ascii="Arial" w:hAnsi="Arial" w:cs="Arial"/>
        </w:rPr>
        <w:t xml:space="preserve"> externí</w:t>
      </w:r>
      <w:r w:rsidR="00B66426" w:rsidRPr="00A02F9B">
        <w:rPr>
          <w:rFonts w:ascii="Arial" w:hAnsi="Arial" w:cs="Arial"/>
        </w:rPr>
        <w:t xml:space="preserve"> hodnotitele). Takový případ již v letošním roce nenastal. Hodnocení „N“ bylo pro letošní rok (na základě zkušeností z prvních dvou let) definováno jinak. Jde o výsledky, které vznikly </w:t>
      </w:r>
      <w:r w:rsidR="0078117D" w:rsidRPr="00A02F9B">
        <w:rPr>
          <w:rFonts w:ascii="Arial" w:hAnsi="Arial" w:cs="Arial"/>
        </w:rPr>
        <w:t xml:space="preserve">zpravidla </w:t>
      </w:r>
      <w:r w:rsidR="00B66426" w:rsidRPr="00A02F9B">
        <w:rPr>
          <w:rFonts w:ascii="Arial" w:hAnsi="Arial" w:cs="Arial"/>
        </w:rPr>
        <w:t>jako výsledek šir</w:t>
      </w:r>
      <w:r w:rsidR="0078117D" w:rsidRPr="00A02F9B">
        <w:rPr>
          <w:rFonts w:ascii="Arial" w:hAnsi="Arial" w:cs="Arial"/>
        </w:rPr>
        <w:t>šího</w:t>
      </w:r>
      <w:r w:rsidR="00B66426" w:rsidRPr="00A02F9B">
        <w:rPr>
          <w:rFonts w:ascii="Arial" w:hAnsi="Arial" w:cs="Arial"/>
        </w:rPr>
        <w:t xml:space="preserve"> autorského týmu, přičemž podíl vykazující VO na vzniku takového výsledku je </w:t>
      </w:r>
      <w:r w:rsidR="0078117D" w:rsidRPr="00A02F9B">
        <w:rPr>
          <w:rFonts w:ascii="Arial" w:hAnsi="Arial" w:cs="Arial"/>
        </w:rPr>
        <w:t xml:space="preserve">proporčně příliš </w:t>
      </w:r>
      <w:r w:rsidR="00B66426" w:rsidRPr="00A02F9B">
        <w:rPr>
          <w:rFonts w:ascii="Arial" w:hAnsi="Arial" w:cs="Arial"/>
        </w:rPr>
        <w:t>malý. V těchto případech, které byly udělením hodnocení „N“ vyřazeny z hodnotícího procesu, se</w:t>
      </w:r>
      <w:r w:rsidR="004D31A2">
        <w:rPr>
          <w:rFonts w:ascii="Arial" w:hAnsi="Arial" w:cs="Arial"/>
        </w:rPr>
        <w:t> </w:t>
      </w:r>
      <w:r w:rsidR="00B66426" w:rsidRPr="00A02F9B">
        <w:rPr>
          <w:rFonts w:ascii="Arial" w:hAnsi="Arial" w:cs="Arial"/>
        </w:rPr>
        <w:t xml:space="preserve">VO neřídily požadavkem, aby výsledek, vykazovaný do M1, vznikl v plném rozsahu činností vykazující VO, případně aby podíl této VO na vzniku výsledku byl rozhodující (s náležitým vysvětlením včetně případné dokumentace, prokazující </w:t>
      </w:r>
      <w:r w:rsidR="0078117D" w:rsidRPr="00A02F9B">
        <w:rPr>
          <w:rFonts w:ascii="Arial" w:hAnsi="Arial" w:cs="Arial"/>
        </w:rPr>
        <w:t>rozhodující</w:t>
      </w:r>
      <w:r w:rsidR="00B66426" w:rsidRPr="00A02F9B">
        <w:rPr>
          <w:rFonts w:ascii="Arial" w:hAnsi="Arial" w:cs="Arial"/>
        </w:rPr>
        <w:t xml:space="preserve"> podíl VO na vzniku výsledku).</w:t>
      </w:r>
    </w:p>
    <w:p w14:paraId="145920BB" w14:textId="531A65CE" w:rsidR="00CF6A29" w:rsidRPr="00A278E8" w:rsidRDefault="00991034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02F9B">
        <w:rPr>
          <w:rFonts w:ascii="Arial" w:hAnsi="Arial" w:cs="Arial"/>
        </w:rPr>
        <w:t>P</w:t>
      </w:r>
      <w:r w:rsidR="00713A56" w:rsidRPr="00A02F9B">
        <w:rPr>
          <w:rFonts w:ascii="Arial" w:hAnsi="Arial" w:cs="Arial"/>
        </w:rPr>
        <w:t xml:space="preserve">řístup VO k výběru a formálnímu zpracování výsledků pro M1 ve třetím roce implementace </w:t>
      </w:r>
      <w:r w:rsidRPr="00A02F9B">
        <w:rPr>
          <w:rFonts w:ascii="Arial" w:hAnsi="Arial" w:cs="Arial"/>
        </w:rPr>
        <w:t xml:space="preserve">hodnotíme jako </w:t>
      </w:r>
      <w:r w:rsidR="00713A56" w:rsidRPr="00A02F9B">
        <w:rPr>
          <w:rFonts w:ascii="Arial" w:hAnsi="Arial" w:cs="Arial"/>
        </w:rPr>
        <w:t xml:space="preserve">zodpovědnější. To se  projevilo pozitivní a žádoucí změnou </w:t>
      </w:r>
      <w:r w:rsidR="00B66426" w:rsidRPr="00A02F9B">
        <w:rPr>
          <w:rFonts w:ascii="Arial" w:hAnsi="Arial" w:cs="Arial"/>
        </w:rPr>
        <w:t xml:space="preserve"> </w:t>
      </w:r>
      <w:r w:rsidR="00713A56" w:rsidRPr="00A02F9B">
        <w:rPr>
          <w:rFonts w:ascii="Arial" w:hAnsi="Arial" w:cs="Arial"/>
        </w:rPr>
        <w:t>ve</w:t>
      </w:r>
      <w:r w:rsidR="004D31A2">
        <w:rPr>
          <w:rFonts w:ascii="Arial" w:hAnsi="Arial" w:cs="Arial"/>
        </w:rPr>
        <w:t> </w:t>
      </w:r>
      <w:r w:rsidR="00713A56" w:rsidRPr="00A02F9B">
        <w:rPr>
          <w:rFonts w:ascii="Arial" w:hAnsi="Arial" w:cs="Arial"/>
        </w:rPr>
        <w:t xml:space="preserve">výrazném procentuálním </w:t>
      </w:r>
      <w:r w:rsidR="00B66426" w:rsidRPr="00A02F9B">
        <w:rPr>
          <w:rFonts w:ascii="Arial" w:hAnsi="Arial" w:cs="Arial"/>
        </w:rPr>
        <w:t xml:space="preserve"> </w:t>
      </w:r>
      <w:r w:rsidR="00713A56" w:rsidRPr="00A02F9B">
        <w:rPr>
          <w:rFonts w:ascii="Arial" w:hAnsi="Arial" w:cs="Arial"/>
        </w:rPr>
        <w:t>poklesu počtu výsledků hodnocených „4“ a „5“ (pokles z 28,1</w:t>
      </w:r>
      <w:r w:rsidR="004D31A2">
        <w:rPr>
          <w:rFonts w:ascii="Arial" w:hAnsi="Arial" w:cs="Arial"/>
        </w:rPr>
        <w:t xml:space="preserve"> </w:t>
      </w:r>
      <w:r w:rsidR="00713A56" w:rsidRPr="00A02F9B">
        <w:rPr>
          <w:rFonts w:ascii="Arial" w:hAnsi="Arial" w:cs="Arial"/>
        </w:rPr>
        <w:t>% v letech 2017-2018 na 18,8% za rok 2019). Postupně se též daří přesněji vymezit, jaké typy výsledků je vhodné pro 6. vědní oblast hodnotit podle kritéria společenské relevance (u</w:t>
      </w:r>
      <w:r w:rsidR="004D31A2">
        <w:rPr>
          <w:rFonts w:ascii="Arial" w:hAnsi="Arial" w:cs="Arial"/>
        </w:rPr>
        <w:t> </w:t>
      </w:r>
      <w:r w:rsidR="00713A56" w:rsidRPr="00A02F9B">
        <w:rPr>
          <w:rFonts w:ascii="Arial" w:hAnsi="Arial" w:cs="Arial"/>
        </w:rPr>
        <w:t xml:space="preserve">humanitních oborů se tato kvalita jen obtížně </w:t>
      </w:r>
      <w:r w:rsidRPr="00A02F9B">
        <w:rPr>
          <w:rFonts w:ascii="Arial" w:hAnsi="Arial" w:cs="Arial"/>
        </w:rPr>
        <w:t xml:space="preserve">vyjadřuje či dokládá finančním </w:t>
      </w:r>
      <w:r w:rsidR="00713A56" w:rsidRPr="00A02F9B">
        <w:rPr>
          <w:rFonts w:ascii="Arial" w:hAnsi="Arial" w:cs="Arial"/>
        </w:rPr>
        <w:t>přínosem). Problémy, které se objevují už jen u relativně malého počtu výsledků, vykazovaných do M1, se týkají  nedostatečně argumentovaného zdůvodnění (proč byl výsledek vybrán do M1) a také chybné afiliace. To je zřejmě obecnější problém, který se ojediněle začíná objevovat už</w:t>
      </w:r>
      <w:r w:rsidR="004D31A2">
        <w:rPr>
          <w:rFonts w:ascii="Arial" w:hAnsi="Arial" w:cs="Arial"/>
        </w:rPr>
        <w:t> </w:t>
      </w:r>
      <w:r w:rsidR="00713A56" w:rsidRPr="00A02F9B">
        <w:rPr>
          <w:rFonts w:ascii="Arial" w:hAnsi="Arial" w:cs="Arial"/>
        </w:rPr>
        <w:t>i</w:t>
      </w:r>
      <w:r w:rsidR="004D31A2">
        <w:rPr>
          <w:rFonts w:ascii="Arial" w:hAnsi="Arial" w:cs="Arial"/>
        </w:rPr>
        <w:t> </w:t>
      </w:r>
      <w:r w:rsidR="00713A56" w:rsidRPr="00A02F9B">
        <w:rPr>
          <w:rFonts w:ascii="Arial" w:hAnsi="Arial" w:cs="Arial"/>
        </w:rPr>
        <w:t>u</w:t>
      </w:r>
      <w:r w:rsidR="004D31A2">
        <w:rPr>
          <w:rFonts w:ascii="Arial" w:hAnsi="Arial" w:cs="Arial"/>
        </w:rPr>
        <w:t> </w:t>
      </w:r>
      <w:r w:rsidR="00713A56" w:rsidRPr="00A02F9B">
        <w:rPr>
          <w:rFonts w:ascii="Arial" w:hAnsi="Arial" w:cs="Arial"/>
        </w:rPr>
        <w:t>výsledků 6. vědní oblasti</w:t>
      </w:r>
      <w:r w:rsidRPr="00A02F9B">
        <w:rPr>
          <w:rFonts w:ascii="Arial" w:hAnsi="Arial" w:cs="Arial"/>
        </w:rPr>
        <w:t>. Je-li u výsledku výslovně uvedena afiliace na jinou VO, než</w:t>
      </w:r>
      <w:r w:rsidR="004D31A2">
        <w:rPr>
          <w:rFonts w:ascii="Arial" w:hAnsi="Arial" w:cs="Arial"/>
        </w:rPr>
        <w:t> </w:t>
      </w:r>
      <w:r w:rsidRPr="00A02F9B">
        <w:rPr>
          <w:rFonts w:ascii="Arial" w:hAnsi="Arial" w:cs="Arial"/>
        </w:rPr>
        <w:t>která výsledek vykazuje do M1, je z hlediska hodnotícího systému takový výsledek považován za neoprávněně vykázaný.</w:t>
      </w:r>
      <w:r w:rsidR="00CF6A29" w:rsidRPr="00A02F9B">
        <w:rPr>
          <w:rFonts w:ascii="Arial" w:hAnsi="Arial" w:cs="Arial"/>
        </w:rPr>
        <w:t xml:space="preserve"> Na základě výběru a návrhů ze strany jednotlivých garantů jsme za 3. rok hodnocení </w:t>
      </w:r>
      <w:r w:rsidR="00CF6A29" w:rsidRPr="00A278E8">
        <w:rPr>
          <w:rFonts w:ascii="Arial" w:hAnsi="Arial" w:cs="Arial"/>
        </w:rPr>
        <w:t xml:space="preserve">připravili výběr vhodných příkladů výsledků z jednotlivých sub-fordů v celé hodnotící škále (1-5, N) a to podle obou kritérií („přínos k poznání“, „společenská relevance“). </w:t>
      </w:r>
    </w:p>
    <w:p w14:paraId="3A4956DD" w14:textId="0E9D23C8" w:rsidR="00D94BFD" w:rsidRPr="00A02F9B" w:rsidRDefault="00991034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278E8">
        <w:rPr>
          <w:rFonts w:ascii="Arial" w:hAnsi="Arial" w:cs="Arial"/>
        </w:rPr>
        <w:lastRenderedPageBreak/>
        <w:t>Souhrnně lze hodnotit třetí rok</w:t>
      </w:r>
      <w:r w:rsidRPr="00A02F9B">
        <w:rPr>
          <w:rFonts w:ascii="Arial" w:hAnsi="Arial" w:cs="Arial"/>
        </w:rPr>
        <w:t xml:space="preserve"> implementace M1 v rámci 6. vědní oblasti za úspěšný. Systém hodnocení už je stabilizován a prokázal svou funkčnost i ve výše zmíněných obtížných podmínkách karanténních opatření. Hodnocení </w:t>
      </w:r>
      <w:r w:rsidR="00D94BFD" w:rsidRPr="00A02F9B">
        <w:rPr>
          <w:rFonts w:ascii="Arial" w:hAnsi="Arial" w:cs="Arial"/>
        </w:rPr>
        <w:t>přinesl</w:t>
      </w:r>
      <w:r w:rsidRPr="00A02F9B">
        <w:rPr>
          <w:rFonts w:ascii="Arial" w:hAnsi="Arial" w:cs="Arial"/>
        </w:rPr>
        <w:t xml:space="preserve">o </w:t>
      </w:r>
      <w:r w:rsidR="00D94BFD" w:rsidRPr="00A02F9B">
        <w:rPr>
          <w:rFonts w:ascii="Arial" w:hAnsi="Arial" w:cs="Arial"/>
        </w:rPr>
        <w:t>validní výsledky, které budou použitelné pro</w:t>
      </w:r>
      <w:r w:rsidR="003A10F3" w:rsidRPr="00A02F9B">
        <w:rPr>
          <w:rFonts w:ascii="Arial" w:hAnsi="Arial" w:cs="Arial"/>
        </w:rPr>
        <w:t xml:space="preserve"> </w:t>
      </w:r>
      <w:r w:rsidR="00D94BFD" w:rsidRPr="00A02F9B">
        <w:rPr>
          <w:rFonts w:ascii="Arial" w:hAnsi="Arial" w:cs="Arial"/>
        </w:rPr>
        <w:t xml:space="preserve">hodnocení VO jako součást delší časové škály. </w:t>
      </w:r>
      <w:r w:rsidRPr="00A02F9B">
        <w:rPr>
          <w:rFonts w:ascii="Arial" w:hAnsi="Arial" w:cs="Arial"/>
        </w:rPr>
        <w:t xml:space="preserve">Nyní jsou k dispozici </w:t>
      </w:r>
      <w:r w:rsidR="00D94BFD" w:rsidRPr="00A02F9B">
        <w:rPr>
          <w:rFonts w:ascii="Arial" w:hAnsi="Arial" w:cs="Arial"/>
        </w:rPr>
        <w:t>data za</w:t>
      </w:r>
      <w:r w:rsidR="004D31A2">
        <w:rPr>
          <w:rFonts w:ascii="Arial" w:hAnsi="Arial" w:cs="Arial"/>
        </w:rPr>
        <w:t> </w:t>
      </w:r>
      <w:r w:rsidRPr="00A02F9B">
        <w:rPr>
          <w:rFonts w:ascii="Arial" w:hAnsi="Arial" w:cs="Arial"/>
        </w:rPr>
        <w:t>tři</w:t>
      </w:r>
      <w:r w:rsidR="004D31A2">
        <w:rPr>
          <w:rFonts w:ascii="Arial" w:hAnsi="Arial" w:cs="Arial"/>
        </w:rPr>
        <w:t> </w:t>
      </w:r>
      <w:r w:rsidR="00D94BFD" w:rsidRPr="00A02F9B">
        <w:rPr>
          <w:rFonts w:ascii="Arial" w:hAnsi="Arial" w:cs="Arial"/>
        </w:rPr>
        <w:t>roky</w:t>
      </w:r>
      <w:r w:rsidRPr="00A02F9B">
        <w:rPr>
          <w:rFonts w:ascii="Arial" w:hAnsi="Arial" w:cs="Arial"/>
        </w:rPr>
        <w:t xml:space="preserve">. To </w:t>
      </w:r>
      <w:r w:rsidR="00D94BFD" w:rsidRPr="00A02F9B">
        <w:rPr>
          <w:rFonts w:ascii="Arial" w:hAnsi="Arial" w:cs="Arial"/>
        </w:rPr>
        <w:t xml:space="preserve">je v případě humanitních věd (6. vědní oblasti) </w:t>
      </w:r>
      <w:r w:rsidRPr="00A02F9B">
        <w:rPr>
          <w:rFonts w:ascii="Arial" w:hAnsi="Arial" w:cs="Arial"/>
        </w:rPr>
        <w:t xml:space="preserve">stále ještě </w:t>
      </w:r>
      <w:r w:rsidR="00D94BFD" w:rsidRPr="00A02F9B">
        <w:rPr>
          <w:rFonts w:ascii="Arial" w:hAnsi="Arial" w:cs="Arial"/>
        </w:rPr>
        <w:t>krátk</w:t>
      </w:r>
      <w:r w:rsidRPr="00A02F9B">
        <w:rPr>
          <w:rFonts w:ascii="Arial" w:hAnsi="Arial" w:cs="Arial"/>
        </w:rPr>
        <w:t xml:space="preserve">á doba s ohledem na to, že příprava </w:t>
      </w:r>
      <w:r w:rsidR="00D94BFD" w:rsidRPr="00A02F9B">
        <w:rPr>
          <w:rFonts w:ascii="Arial" w:hAnsi="Arial" w:cs="Arial"/>
        </w:rPr>
        <w:t xml:space="preserve">excelentních výsledků knižního typu </w:t>
      </w:r>
      <w:r w:rsidRPr="00A02F9B">
        <w:rPr>
          <w:rFonts w:ascii="Arial" w:hAnsi="Arial" w:cs="Arial"/>
        </w:rPr>
        <w:t xml:space="preserve">(což je typicky nejvýznamnější výsledek těchto oborů) </w:t>
      </w:r>
      <w:r w:rsidR="00CF6A29" w:rsidRPr="00A02F9B">
        <w:rPr>
          <w:rFonts w:ascii="Arial" w:hAnsi="Arial" w:cs="Arial"/>
        </w:rPr>
        <w:t>trvá obvykle několik let. D</w:t>
      </w:r>
      <w:r w:rsidR="00D94BFD" w:rsidRPr="00A02F9B">
        <w:rPr>
          <w:rFonts w:ascii="Arial" w:hAnsi="Arial" w:cs="Arial"/>
        </w:rPr>
        <w:t>ostatečně reprezentativním vzorkem</w:t>
      </w:r>
      <w:r w:rsidR="00CF6A29" w:rsidRPr="00A02F9B">
        <w:rPr>
          <w:rFonts w:ascii="Arial" w:hAnsi="Arial" w:cs="Arial"/>
        </w:rPr>
        <w:t xml:space="preserve"> </w:t>
      </w:r>
      <w:r w:rsidR="00D94BFD" w:rsidRPr="00A02F9B">
        <w:rPr>
          <w:rFonts w:ascii="Arial" w:hAnsi="Arial" w:cs="Arial"/>
        </w:rPr>
        <w:t>bude až soubor dat</w:t>
      </w:r>
      <w:r w:rsidR="003A10F3" w:rsidRPr="00A02F9B">
        <w:rPr>
          <w:rFonts w:ascii="Arial" w:hAnsi="Arial" w:cs="Arial"/>
        </w:rPr>
        <w:t xml:space="preserve"> </w:t>
      </w:r>
      <w:r w:rsidR="00D94BFD" w:rsidRPr="00A02F9B">
        <w:rPr>
          <w:rFonts w:ascii="Arial" w:hAnsi="Arial" w:cs="Arial"/>
        </w:rPr>
        <w:t>z celého pětiletého cyklu.</w:t>
      </w:r>
    </w:p>
    <w:p w14:paraId="2A962737" w14:textId="77777777" w:rsidR="003A10F3" w:rsidRPr="00A02F9B" w:rsidRDefault="003A10F3" w:rsidP="00A0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A02F9B">
        <w:rPr>
          <w:rFonts w:ascii="Arial" w:hAnsi="Arial" w:cs="Arial"/>
        </w:rPr>
        <w:t xml:space="preserve">               </w:t>
      </w:r>
    </w:p>
    <w:p w14:paraId="01B5F479" w14:textId="008E6A82" w:rsidR="000A4FD0" w:rsidRPr="00A02F9B" w:rsidRDefault="000A4FD0" w:rsidP="00A02F9B">
      <w:pPr>
        <w:ind w:firstLine="709"/>
        <w:jc w:val="both"/>
        <w:rPr>
          <w:rFonts w:ascii="Arial" w:hAnsi="Arial" w:cs="Arial"/>
        </w:rPr>
      </w:pPr>
    </w:p>
    <w:sectPr w:rsidR="000A4FD0" w:rsidRPr="00A0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15E0B" w16cex:dateUtc="2020-08-26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3D5C87" w16cid:durableId="22F15E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FD"/>
    <w:rsid w:val="000A4FD0"/>
    <w:rsid w:val="000F01F6"/>
    <w:rsid w:val="0013125C"/>
    <w:rsid w:val="00252650"/>
    <w:rsid w:val="002762EB"/>
    <w:rsid w:val="00324930"/>
    <w:rsid w:val="003639B1"/>
    <w:rsid w:val="003A10F3"/>
    <w:rsid w:val="004D31A2"/>
    <w:rsid w:val="006F2829"/>
    <w:rsid w:val="00713A56"/>
    <w:rsid w:val="0078117D"/>
    <w:rsid w:val="008A23DD"/>
    <w:rsid w:val="008A4D5C"/>
    <w:rsid w:val="00991034"/>
    <w:rsid w:val="00A02F9B"/>
    <w:rsid w:val="00A278E8"/>
    <w:rsid w:val="00A86E63"/>
    <w:rsid w:val="00B66426"/>
    <w:rsid w:val="00CF6A29"/>
    <w:rsid w:val="00D94BFD"/>
    <w:rsid w:val="00DD4278"/>
    <w:rsid w:val="00E21AE3"/>
    <w:rsid w:val="00E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0F08"/>
  <w15:chartTrackingRefBased/>
  <w15:docId w15:val="{0E289F57-783F-4C6B-9360-FBC58DCB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8E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4D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D5C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A4D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D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4D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D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D5C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A278E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Vorel Petr</dc:creator>
  <cp:keywords/>
  <dc:description/>
  <cp:lastModifiedBy>Miholová Kateřina</cp:lastModifiedBy>
  <cp:revision>5</cp:revision>
  <dcterms:created xsi:type="dcterms:W3CDTF">2020-08-26T20:18:00Z</dcterms:created>
  <dcterms:modified xsi:type="dcterms:W3CDTF">2020-09-02T10:41:00Z</dcterms:modified>
</cp:coreProperties>
</file>